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hint="eastAsia" w:ascii="方正小标宋简体" w:hAnsi="方正小标宋简体" w:eastAsia="方正小标宋简体" w:cs="方正小标宋简体"/>
          <w:color w:val="000000"/>
          <w:sz w:val="44"/>
          <w:lang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bookmarkStart w:id="0" w:name="_GoBack"/>
      <w:bookmarkEnd w:id="0"/>
    </w:p>
    <w:p>
      <w:pPr>
        <w:pStyle w:val="5"/>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4843780" cy="1404620"/>
            <wp:effectExtent l="0" t="0" r="0" b="0"/>
            <wp:docPr id="1" name="image1.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true"/>
                    </pic:cNvPicPr>
                  </pic:nvPicPr>
                  <pic:blipFill>
                    <a:blip r:embed="rId4" cstate="print"/>
                    <a:stretch>
                      <a:fillRect/>
                    </a:stretch>
                  </pic:blipFill>
                  <pic:spPr>
                    <a:xfrm>
                      <a:off x="0" y="0"/>
                      <a:ext cx="4844222" cy="1404937"/>
                    </a:xfrm>
                    <a:prstGeom prst="rect">
                      <a:avLst/>
                    </a:prstGeom>
                  </pic:spPr>
                </pic:pic>
              </a:graphicData>
            </a:graphic>
          </wp:inline>
        </w:drawing>
      </w:r>
    </w:p>
    <w:p>
      <w:pPr>
        <w:pStyle w:val="5"/>
        <w:widowControl/>
        <w:autoSpaceDE/>
        <w:autoSpaceDN/>
        <w:adjustRightInd w:val="0"/>
        <w:snapToGrid w:val="0"/>
        <w:spacing w:before="120" w:beforeLines="50" w:after="120" w:afterLines="50" w:line="252" w:lineRule="auto"/>
        <w:jc w:val="center"/>
        <w:rPr>
          <w:rFonts w:ascii="Times New Roman" w:hAnsi="Times New Roman" w:eastAsia="宋体" w:cs="Times New Roman"/>
          <w:b/>
          <w:bCs/>
          <w:color w:val="4F81BC"/>
          <w:sz w:val="36"/>
          <w:szCs w:val="36"/>
          <w:lang w:val="ru-RU" w:eastAsia="zh-CN" w:bidi="ar-SA"/>
        </w:rPr>
      </w:pPr>
      <w:r>
        <w:rPr>
          <w:rFonts w:hint="eastAsia" w:ascii="Times New Roman" w:hAnsi="Times New Roman" w:eastAsia="宋体" w:cs="Times New Roman"/>
          <w:b/>
          <w:bCs/>
          <w:color w:val="4F81BC"/>
          <w:sz w:val="36"/>
          <w:szCs w:val="36"/>
          <w:lang w:val="ru-RU" w:eastAsia="zh-CN" w:bidi="ar-SA"/>
        </w:rPr>
        <w:t>塔吉克斯坦杜尚别国际投资论坛</w:t>
      </w:r>
    </w:p>
    <w:p>
      <w:pPr>
        <w:keepNext w:val="0"/>
        <w:keepLines w:val="0"/>
        <w:pageBreakBefore w:val="0"/>
        <w:widowControl/>
        <w:kinsoku/>
        <w:wordWrap/>
        <w:overflowPunct/>
        <w:topLinePunct w:val="0"/>
        <w:autoSpaceDE/>
        <w:autoSpaceDN/>
        <w:bidi w:val="0"/>
        <w:adjustRightInd w:val="0"/>
        <w:snapToGrid w:val="0"/>
        <w:spacing w:before="150" w:beforeLines="50" w:after="120" w:afterLines="50" w:line="252" w:lineRule="auto"/>
        <w:jc w:val="both"/>
        <w:textAlignment w:val="auto"/>
        <w:rPr>
          <w:rFonts w:ascii="Times New Roman" w:hAnsi="Times New Roman" w:cs="Times New Roman"/>
          <w:sz w:val="24"/>
          <w:szCs w:val="24"/>
        </w:rPr>
      </w:pPr>
      <w:r>
        <w:rPr>
          <w:rFonts w:ascii="Times New Roman" w:hAnsi="Times New Roman" w:cs="Times New Roman"/>
          <w:color w:val="4F81BC"/>
          <w:sz w:val="24"/>
          <w:szCs w:val="24"/>
        </w:rPr>
        <w:t>日期：2023年9月29-30日</w:t>
      </w:r>
    </w:p>
    <w:p>
      <w:pPr>
        <w:widowControl/>
        <w:autoSpaceDE/>
        <w:autoSpaceDN/>
        <w:adjustRightInd w:val="0"/>
        <w:snapToGrid w:val="0"/>
        <w:spacing w:before="120" w:beforeLines="50" w:after="120" w:afterLines="50" w:line="252" w:lineRule="auto"/>
        <w:jc w:val="both"/>
        <w:rPr>
          <w:rFonts w:ascii="Times New Roman" w:hAnsi="Times New Roman" w:cs="Times New Roman"/>
          <w:color w:val="4F81BC"/>
          <w:sz w:val="24"/>
          <w:szCs w:val="24"/>
        </w:rPr>
      </w:pPr>
      <w:r>
        <w:rPr>
          <w:rFonts w:ascii="Times New Roman" w:hAnsi="Times New Roman" w:cs="Times New Roman"/>
          <w:color w:val="4F81BC"/>
          <w:sz w:val="24"/>
          <w:szCs w:val="24"/>
        </w:rPr>
        <w:t>地点：塔吉克斯坦共和国</w:t>
      </w:r>
    </w:p>
    <w:p>
      <w:pPr>
        <w:widowControl/>
        <w:autoSpaceDE/>
        <w:autoSpaceDN/>
        <w:adjustRightInd w:val="0"/>
        <w:snapToGrid w:val="0"/>
        <w:spacing w:before="120" w:beforeLines="50" w:after="120" w:afterLines="50" w:line="252" w:lineRule="auto"/>
        <w:jc w:val="both"/>
        <w:rPr>
          <w:rFonts w:ascii="Times New Roman" w:hAnsi="Times New Roman" w:cs="Times New Roman"/>
          <w:color w:val="4F81BC"/>
          <w:sz w:val="24"/>
          <w:szCs w:val="24"/>
        </w:rPr>
      </w:pPr>
    </w:p>
    <w:p>
      <w:pPr>
        <w:pStyle w:val="16"/>
        <w:widowControl/>
        <w:numPr>
          <w:ilvl w:val="0"/>
          <w:numId w:val="1"/>
        </w:numPr>
        <w:autoSpaceDE/>
        <w:autoSpaceDN/>
        <w:adjustRightInd w:val="0"/>
        <w:snapToGrid w:val="0"/>
        <w:spacing w:before="120" w:beforeLines="50" w:after="120" w:afterLines="50" w:line="252" w:lineRule="auto"/>
        <w:jc w:val="both"/>
        <w:rPr>
          <w:rFonts w:ascii="Times New Roman" w:hAnsi="Times New Roman" w:cs="Times New Roman"/>
          <w:color w:val="4F81BC"/>
          <w:sz w:val="24"/>
          <w:szCs w:val="24"/>
        </w:rPr>
      </w:pPr>
      <w:r>
        <w:rPr>
          <w:rFonts w:ascii="Times New Roman" w:hAnsi="Times New Roman" w:cs="Times New Roman"/>
          <w:color w:val="4F81BC"/>
          <w:sz w:val="24"/>
          <w:szCs w:val="24"/>
        </w:rPr>
        <w:t>论坛开幕式——Kokhi Istiklol</w:t>
      </w:r>
      <w:r>
        <w:rPr>
          <w:rFonts w:hint="eastAsia" w:ascii="Times New Roman" w:hAnsi="Times New Roman" w:cs="Times New Roman"/>
          <w:color w:val="4F81BC"/>
          <w:sz w:val="24"/>
          <w:szCs w:val="24"/>
          <w:lang w:eastAsia="zh-CN"/>
        </w:rPr>
        <w:t>（在塔吉克语中意为“独立宫殿”，是现在的总统府）</w:t>
      </w:r>
    </w:p>
    <w:p>
      <w:pPr>
        <w:pStyle w:val="16"/>
        <w:widowControl/>
        <w:numPr>
          <w:ilvl w:val="0"/>
          <w:numId w:val="1"/>
        </w:numPr>
        <w:autoSpaceDE/>
        <w:autoSpaceDN/>
        <w:adjustRightInd w:val="0"/>
        <w:snapToGrid w:val="0"/>
        <w:spacing w:before="120" w:beforeLines="50" w:after="120" w:afterLines="50" w:line="252" w:lineRule="auto"/>
        <w:jc w:val="both"/>
        <w:rPr>
          <w:rFonts w:ascii="Times New Roman" w:hAnsi="Times New Roman" w:cs="Times New Roman"/>
          <w:color w:val="4F81BC"/>
          <w:sz w:val="24"/>
          <w:szCs w:val="24"/>
        </w:rPr>
      </w:pPr>
      <w:r>
        <w:rPr>
          <w:rFonts w:ascii="Times New Roman" w:hAnsi="Times New Roman" w:cs="Times New Roman"/>
          <w:color w:val="4F81BC"/>
          <w:sz w:val="24"/>
          <w:szCs w:val="24"/>
        </w:rPr>
        <w:t>分论坛会场——塔吉克斯坦国家图书馆</w:t>
      </w:r>
    </w:p>
    <w:p>
      <w:pPr>
        <w:pStyle w:val="5"/>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8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时间</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07:30-09:00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参会人员签到</w:t>
            </w:r>
          </w:p>
          <w:p>
            <w:pPr>
              <w:pStyle w:val="17"/>
              <w:widowControl/>
              <w:tabs>
                <w:tab w:val="left" w:pos="1118"/>
                <w:tab w:val="left" w:pos="3390"/>
                <w:tab w:val="left" w:pos="3886"/>
                <w:tab w:val="left" w:pos="5726"/>
                <w:tab w:val="left" w:pos="7838"/>
              </w:tabs>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视频</w:t>
            </w:r>
            <w:r>
              <w:rPr>
                <w:rFonts w:hint="eastAsia" w:ascii="Times New Roman" w:hAnsi="Times New Roman" w:cs="Times New Roman"/>
                <w:sz w:val="24"/>
                <w:szCs w:val="24"/>
                <w:lang w:eastAsia="zh-CN"/>
              </w:rPr>
              <w:t>介绍</w:t>
            </w:r>
            <w:r>
              <w:rPr>
                <w:rFonts w:ascii="Times New Roman" w:hAnsi="Times New Roman" w:cs="Times New Roman"/>
                <w:sz w:val="24"/>
                <w:szCs w:val="24"/>
              </w:rPr>
              <w:t>塔吉克斯坦投资机会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vMerge w:val="restar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9:00-10:30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hint="eastAsia" w:ascii="Times New Roman" w:hAnsi="Times New Roman" w:cs="Times New Roman"/>
                <w:sz w:val="24"/>
                <w:szCs w:val="24"/>
              </w:rPr>
              <w:t>“和平与国家统一的缔造者”</w:t>
            </w:r>
            <w:r>
              <w:rPr>
                <w:rFonts w:ascii="Times New Roman" w:hAnsi="Times New Roman" w:cs="Times New Roman"/>
                <w:sz w:val="24"/>
                <w:szCs w:val="24"/>
              </w:rPr>
              <w:t>、国家领导人、塔吉克斯坦共和国总统埃莫马利·拉赫蒙（Emomali Rahmon）主持论坛开幕式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15" w:type="pct"/>
            <w:vMerge w:val="continue"/>
          </w:tcPr>
          <w:p>
            <w:pPr>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嘉宾致开幕词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10:30-10:40</w:t>
            </w:r>
          </w:p>
        </w:tc>
        <w:tc>
          <w:tcPr>
            <w:tcW w:w="4085" w:type="pct"/>
          </w:tcPr>
          <w:p>
            <w:pPr>
              <w:pStyle w:val="17"/>
              <w:widowControl/>
              <w:autoSpaceDE/>
              <w:autoSpaceDN/>
              <w:adjustRightInd w:val="0"/>
              <w:snapToGrid w:val="0"/>
              <w:spacing w:before="120" w:beforeLines="50" w:after="120" w:afterLines="50" w:line="252" w:lineRule="auto"/>
              <w:jc w:val="both"/>
              <w:rPr>
                <w:rFonts w:hint="eastAsia" w:ascii="Times New Roman" w:hAnsi="Times New Roman" w:eastAsia="宋体" w:cs="Times New Roman"/>
                <w:sz w:val="24"/>
                <w:szCs w:val="24"/>
                <w:lang w:eastAsia="zh-CN"/>
              </w:rPr>
            </w:pPr>
            <w:r>
              <w:rPr>
                <w:rFonts w:ascii="Times New Roman" w:hAnsi="Times New Roman" w:cs="Times New Roman"/>
                <w:sz w:val="24"/>
                <w:szCs w:val="24"/>
              </w:rPr>
              <w:t>论坛</w:t>
            </w:r>
            <w:r>
              <w:rPr>
                <w:rFonts w:hint="eastAsia" w:ascii="Times New Roman" w:hAnsi="Times New Roman" w:cs="Times New Roman"/>
                <w:sz w:val="24"/>
                <w:szCs w:val="24"/>
                <w:lang w:eastAsia="zh-CN"/>
              </w:rPr>
              <w:t>开幕式结束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11:00-12:00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参观展览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12:00-13:30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13:30-14:00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转至</w:t>
            </w:r>
            <w:r>
              <w:rPr>
                <w:rFonts w:hint="eastAsia" w:ascii="Times New Roman" w:hAnsi="Times New Roman" w:cs="Times New Roman"/>
                <w:sz w:val="24"/>
                <w:szCs w:val="24"/>
                <w:lang w:eastAsia="zh-CN"/>
              </w:rPr>
              <w:t>“</w:t>
            </w:r>
            <w:r>
              <w:rPr>
                <w:rFonts w:ascii="Times New Roman" w:hAnsi="Times New Roman" w:cs="Times New Roman"/>
                <w:sz w:val="24"/>
                <w:szCs w:val="24"/>
              </w:rPr>
              <w:t>塔吉克斯坦国家图书馆</w:t>
            </w:r>
            <w:r>
              <w:rPr>
                <w:rFonts w:hint="eastAsia" w:ascii="Times New Roman" w:hAnsi="Times New Roman" w:cs="Times New Roman"/>
                <w:sz w:val="24"/>
                <w:szCs w:val="24"/>
                <w:lang w:eastAsia="zh-CN"/>
              </w:rPr>
              <w:t>”</w:t>
            </w:r>
            <w:r>
              <w:rPr>
                <w:rFonts w:ascii="Times New Roman" w:hAnsi="Times New Roman" w:cs="Times New Roman"/>
                <w:sz w:val="24"/>
                <w:szCs w:val="24"/>
              </w:rPr>
              <w:t>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center"/>
              <w:rPr>
                <w:rFonts w:ascii="Times New Roman" w:hAnsi="Times New Roman" w:cs="Times New Roman"/>
                <w:b/>
                <w:bCs/>
                <w:sz w:val="24"/>
                <w:szCs w:val="24"/>
              </w:rPr>
            </w:pPr>
            <w:r>
              <w:rPr>
                <w:rFonts w:hint="eastAsia" w:ascii="Times New Roman" w:hAnsi="Times New Roman" w:cs="Times New Roman"/>
                <w:b/>
                <w:bCs/>
                <w:sz w:val="24"/>
                <w:szCs w:val="24"/>
                <w:lang w:eastAsia="zh-CN"/>
              </w:rPr>
              <w:t>“</w:t>
            </w:r>
            <w:r>
              <w:rPr>
                <w:rFonts w:ascii="Times New Roman" w:hAnsi="Times New Roman" w:cs="Times New Roman"/>
                <w:b/>
                <w:bCs/>
                <w:sz w:val="24"/>
                <w:szCs w:val="24"/>
              </w:rPr>
              <w:t>塔吉克斯坦国家图书馆</w:t>
            </w:r>
            <w:r>
              <w:rPr>
                <w:rFonts w:hint="eastAsia" w:ascii="Times New Roman" w:hAnsi="Times New Roman" w:cs="Times New Roman"/>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分论坛一</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color w:val="E26C09"/>
                <w:sz w:val="24"/>
                <w:szCs w:val="24"/>
              </w:rPr>
            </w:pPr>
            <w:r>
              <w:rPr>
                <w:rFonts w:ascii="Times New Roman" w:hAnsi="Times New Roman" w:cs="Times New Roman"/>
                <w:b/>
                <w:bCs/>
                <w:color w:val="E26C09"/>
                <w:sz w:val="24"/>
                <w:szCs w:val="24"/>
              </w:rPr>
              <w:t>杜尚别的投资机会</w:t>
            </w:r>
          </w:p>
          <w:p>
            <w:pPr>
              <w:pStyle w:val="17"/>
              <w:widowControl/>
              <w:numPr>
                <w:ilvl w:val="0"/>
                <w:numId w:val="2"/>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主题：</w:t>
            </w:r>
          </w:p>
          <w:p>
            <w:pPr>
              <w:pStyle w:val="17"/>
              <w:widowControl/>
              <w:numPr>
                <w:ilvl w:val="0"/>
                <w:numId w:val="2"/>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sz w:val="24"/>
                <w:szCs w:val="24"/>
              </w:rPr>
              <w:t>杜尚别在独立时期取得的成就</w:t>
            </w:r>
          </w:p>
          <w:p>
            <w:pPr>
              <w:pStyle w:val="17"/>
              <w:widowControl/>
              <w:numPr>
                <w:ilvl w:val="0"/>
                <w:numId w:val="2"/>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sz w:val="24"/>
                <w:szCs w:val="24"/>
              </w:rPr>
              <w:t>杜尚别在教育、卫生、旅游、公共服务以及快速工业化发展领域的投资机会</w:t>
            </w:r>
          </w:p>
          <w:p>
            <w:pPr>
              <w:pStyle w:val="17"/>
              <w:widowControl/>
              <w:numPr>
                <w:ilvl w:val="0"/>
                <w:numId w:val="2"/>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与中华人民共和国、俄罗斯联邦及阿拉伯联合酋长国的合作项目介绍</w:t>
            </w:r>
          </w:p>
          <w:p>
            <w:pPr>
              <w:pStyle w:val="17"/>
              <w:widowControl/>
              <w:numPr>
                <w:ilvl w:val="0"/>
                <w:numId w:val="2"/>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sz w:val="24"/>
                <w:szCs w:val="24"/>
              </w:rPr>
              <w:t>信息和通信技术在杜尚别经济和社会发展中的作用</w:t>
            </w:r>
          </w:p>
          <w:p>
            <w:pPr>
              <w:pStyle w:val="17"/>
              <w:widowControl/>
              <w:numPr>
                <w:ilvl w:val="0"/>
                <w:numId w:val="2"/>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sz w:val="24"/>
                <w:szCs w:val="24"/>
              </w:rPr>
              <w:t>问答环节</w:t>
            </w:r>
          </w:p>
          <w:p>
            <w:pPr>
              <w:pStyle w:val="17"/>
              <w:widowControl/>
              <w:numPr>
                <w:ilvl w:val="0"/>
                <w:numId w:val="2"/>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sz w:val="24"/>
                <w:szCs w:val="24"/>
              </w:rPr>
              <w:t>签署文件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both"/>
              <w:rPr>
                <w:rFonts w:hint="eastAsia" w:ascii="Times New Roman" w:hAnsi="Times New Roman" w:eastAsia="宋体" w:cs="Times New Roman"/>
                <w:sz w:val="24"/>
                <w:szCs w:val="24"/>
                <w:highlight w:val="yellow"/>
                <w:lang w:eastAsia="zh-CN"/>
              </w:rPr>
            </w:pPr>
            <w:r>
              <w:rPr>
                <w:rFonts w:ascii="Times New Roman" w:hAnsi="Times New Roman" w:cs="Times New Roman"/>
                <w:b/>
                <w:bCs/>
                <w:sz w:val="24"/>
                <w:szCs w:val="24"/>
                <w:u w:val="single"/>
              </w:rPr>
              <w:t>主持人：</w:t>
            </w:r>
            <w:r>
              <w:rPr>
                <w:rFonts w:ascii="Times New Roman" w:hAnsi="Times New Roman" w:cs="Times New Roman"/>
                <w:sz w:val="24"/>
                <w:szCs w:val="24"/>
              </w:rPr>
              <w:t xml:space="preserve">Abdurahmonzoda Abdurahmon Safarali - </w:t>
            </w:r>
            <w:r>
              <w:rPr>
                <w:rFonts w:ascii="Times New Roman" w:hAnsi="Times New Roman" w:cs="Times New Roman"/>
                <w:sz w:val="24"/>
                <w:szCs w:val="24"/>
                <w:highlight w:val="none"/>
              </w:rPr>
              <w:t>杜尚别</w:t>
            </w:r>
            <w:r>
              <w:rPr>
                <w:rFonts w:hint="eastAsia" w:ascii="Times New Roman" w:hAnsi="Times New Roman" w:cs="Times New Roman"/>
                <w:sz w:val="24"/>
                <w:szCs w:val="24"/>
                <w:highlight w:val="none"/>
                <w:lang w:eastAsia="zh-CN"/>
              </w:rPr>
              <w:t>副市长</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演讲嘉宾：</w:t>
            </w:r>
          </w:p>
          <w:p>
            <w:pPr>
              <w:pStyle w:val="17"/>
              <w:widowControl/>
              <w:numPr>
                <w:ilvl w:val="0"/>
                <w:numId w:val="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杜尚别行政机关代表</w:t>
            </w:r>
          </w:p>
          <w:p>
            <w:pPr>
              <w:pStyle w:val="17"/>
              <w:widowControl/>
              <w:numPr>
                <w:ilvl w:val="0"/>
                <w:numId w:val="3"/>
              </w:numPr>
              <w:tabs>
                <w:tab w:val="left" w:pos="399"/>
              </w:tabs>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中华人民共和国、俄罗斯联邦</w:t>
            </w:r>
            <w:r>
              <w:rPr>
                <w:rFonts w:hint="eastAsia" w:ascii="Times New Roman" w:hAnsi="Times New Roman" w:cs="Times New Roman"/>
                <w:sz w:val="24"/>
                <w:szCs w:val="24"/>
                <w:lang w:eastAsia="zh-CN"/>
              </w:rPr>
              <w:t>、</w:t>
            </w:r>
            <w:r>
              <w:rPr>
                <w:rFonts w:ascii="Times New Roman" w:hAnsi="Times New Roman" w:cs="Times New Roman"/>
                <w:sz w:val="24"/>
                <w:szCs w:val="24"/>
              </w:rPr>
              <w:t>阿拉伯联合酋长国</w:t>
            </w:r>
            <w:r>
              <w:rPr>
                <w:rFonts w:hint="eastAsia" w:ascii="Times New Roman" w:hAnsi="Times New Roman" w:cs="Times New Roman"/>
                <w:sz w:val="24"/>
                <w:szCs w:val="24"/>
                <w:lang w:eastAsia="zh-CN"/>
              </w:rPr>
              <w:t>各自</w:t>
            </w:r>
            <w:r>
              <w:rPr>
                <w:rFonts w:ascii="Times New Roman" w:hAnsi="Times New Roman" w:cs="Times New Roman"/>
                <w:sz w:val="24"/>
                <w:szCs w:val="24"/>
              </w:rPr>
              <w:t>代表</w:t>
            </w:r>
          </w:p>
          <w:p>
            <w:pPr>
              <w:pStyle w:val="17"/>
              <w:widowControl/>
              <w:numPr>
                <w:ilvl w:val="0"/>
                <w:numId w:val="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Avesto集团公司代表</w:t>
            </w:r>
          </w:p>
          <w:p>
            <w:pPr>
              <w:pStyle w:val="17"/>
              <w:widowControl/>
              <w:numPr>
                <w:ilvl w:val="0"/>
                <w:numId w:val="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国有独资企业“Smart City”代表</w:t>
            </w:r>
          </w:p>
          <w:p>
            <w:pPr>
              <w:pStyle w:val="17"/>
              <w:widowControl/>
              <w:numPr>
                <w:ilvl w:val="0"/>
                <w:numId w:val="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hint="eastAsia" w:ascii="Times New Roman" w:hAnsi="Times New Roman" w:eastAsia="宋体" w:cs="Times New Roman"/>
                <w:b/>
                <w:bCs/>
                <w:sz w:val="24"/>
                <w:szCs w:val="24"/>
                <w:lang w:eastAsia="zh-CN"/>
              </w:rPr>
            </w:pPr>
            <w:r>
              <w:rPr>
                <w:rFonts w:ascii="Times New Roman" w:hAnsi="Times New Roman" w:cs="Times New Roman"/>
                <w:b/>
                <w:bCs/>
                <w:sz w:val="24"/>
                <w:szCs w:val="24"/>
              </w:rPr>
              <w:t>分论坛</w:t>
            </w:r>
            <w:r>
              <w:rPr>
                <w:rFonts w:hint="eastAsia" w:ascii="Times New Roman" w:hAnsi="Times New Roman" w:cs="Times New Roman"/>
                <w:b/>
                <w:bCs/>
                <w:sz w:val="24"/>
                <w:szCs w:val="24"/>
                <w:lang w:eastAsia="zh-CN"/>
              </w:rPr>
              <w:t>二</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color w:val="E26C09"/>
                <w:sz w:val="24"/>
                <w:szCs w:val="24"/>
              </w:rPr>
              <w:t>工业是经济发展的主要动力，也为投资者提供了有利条件</w:t>
            </w:r>
          </w:p>
          <w:p>
            <w:pPr>
              <w:pStyle w:val="17"/>
              <w:widowControl/>
              <w:numPr>
                <w:ilvl w:val="0"/>
                <w:numId w:val="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主题：</w:t>
            </w:r>
          </w:p>
          <w:p>
            <w:pPr>
              <w:pStyle w:val="17"/>
              <w:widowControl/>
              <w:numPr>
                <w:ilvl w:val="0"/>
                <w:numId w:val="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w:t>
            </w:r>
            <w:r>
              <w:rPr>
                <w:rFonts w:hint="eastAsia" w:ascii="Times New Roman" w:hAnsi="Times New Roman" w:cs="Times New Roman"/>
                <w:sz w:val="24"/>
                <w:szCs w:val="24"/>
                <w:lang w:eastAsia="zh-CN"/>
              </w:rPr>
              <w:t>——</w:t>
            </w:r>
            <w:r>
              <w:rPr>
                <w:rFonts w:ascii="Times New Roman" w:hAnsi="Times New Roman" w:cs="Times New Roman"/>
                <w:sz w:val="24"/>
                <w:szCs w:val="24"/>
              </w:rPr>
              <w:t>金属和矿产</w:t>
            </w:r>
            <w:r>
              <w:rPr>
                <w:rFonts w:hint="eastAsia" w:ascii="Times New Roman" w:hAnsi="Times New Roman" w:cs="Times New Roman"/>
                <w:sz w:val="24"/>
                <w:szCs w:val="24"/>
                <w:lang w:eastAsia="zh-CN"/>
              </w:rPr>
              <w:t>之国</w:t>
            </w:r>
            <w:r>
              <w:rPr>
                <w:rFonts w:ascii="Times New Roman" w:hAnsi="Times New Roman" w:cs="Times New Roman"/>
                <w:sz w:val="24"/>
                <w:szCs w:val="24"/>
              </w:rPr>
              <w:t>的绿色经济转型之路</w:t>
            </w:r>
          </w:p>
          <w:p>
            <w:pPr>
              <w:pStyle w:val="17"/>
              <w:widowControl/>
              <w:numPr>
                <w:ilvl w:val="0"/>
                <w:numId w:val="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在生产集群过程中扩大公私合作机会</w:t>
            </w:r>
          </w:p>
          <w:p>
            <w:pPr>
              <w:pStyle w:val="17"/>
              <w:widowControl/>
              <w:numPr>
                <w:ilvl w:val="0"/>
                <w:numId w:val="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缔造产业创业精神和提高产品质量</w:t>
            </w:r>
            <w:r>
              <w:rPr>
                <w:rFonts w:hint="eastAsia" w:ascii="Times New Roman" w:hAnsi="Times New Roman" w:cs="Times New Roman"/>
                <w:sz w:val="24"/>
                <w:szCs w:val="24"/>
                <w:lang w:eastAsia="zh-CN"/>
              </w:rPr>
              <w:t>之路</w:t>
            </w:r>
          </w:p>
          <w:p>
            <w:pPr>
              <w:pStyle w:val="17"/>
              <w:widowControl/>
              <w:numPr>
                <w:ilvl w:val="0"/>
                <w:numId w:val="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技术园区在</w:t>
            </w:r>
            <w:r>
              <w:rPr>
                <w:rFonts w:hint="eastAsia" w:ascii="Times New Roman" w:hAnsi="Times New Roman" w:cs="Times New Roman"/>
                <w:sz w:val="24"/>
                <w:szCs w:val="24"/>
                <w:lang w:eastAsia="zh-CN"/>
              </w:rPr>
              <w:t>助力</w:t>
            </w:r>
            <w:r>
              <w:rPr>
                <w:rFonts w:ascii="Times New Roman" w:hAnsi="Times New Roman" w:cs="Times New Roman"/>
                <w:sz w:val="24"/>
                <w:szCs w:val="24"/>
              </w:rPr>
              <w:t>塔吉克斯坦成功进入全球市场中的作用</w:t>
            </w:r>
          </w:p>
          <w:p>
            <w:pPr>
              <w:pStyle w:val="17"/>
              <w:widowControl/>
              <w:numPr>
                <w:ilvl w:val="0"/>
                <w:numId w:val="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b/>
                <w:bCs/>
                <w:sz w:val="24"/>
                <w:szCs w:val="24"/>
                <w:u w:val="single"/>
              </w:rPr>
              <w:t>主持人：</w:t>
            </w:r>
            <w:r>
              <w:rPr>
                <w:rFonts w:ascii="Times New Roman" w:hAnsi="Times New Roman" w:cs="Times New Roman"/>
                <w:sz w:val="24"/>
                <w:szCs w:val="24"/>
              </w:rPr>
              <w:t>Kabir Sherali - 塔吉克斯坦共和国工业和新技术部部长</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演讲嘉宾：</w:t>
            </w:r>
          </w:p>
          <w:p>
            <w:pPr>
              <w:pStyle w:val="17"/>
              <w:widowControl/>
              <w:numPr>
                <w:ilvl w:val="0"/>
                <w:numId w:val="5"/>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公营</w:t>
            </w:r>
            <w:r>
              <w:rPr>
                <w:rFonts w:hint="eastAsia" w:ascii="Times New Roman" w:hAnsi="Times New Roman" w:cs="Times New Roman"/>
                <w:sz w:val="24"/>
                <w:szCs w:val="24"/>
                <w:lang w:eastAsia="zh-CN"/>
              </w:rPr>
              <w:t>单位</w:t>
            </w:r>
            <w:r>
              <w:rPr>
                <w:rFonts w:ascii="Times New Roman" w:hAnsi="Times New Roman" w:cs="Times New Roman"/>
                <w:sz w:val="24"/>
                <w:szCs w:val="24"/>
              </w:rPr>
              <w:t>代表</w:t>
            </w:r>
          </w:p>
          <w:p>
            <w:pPr>
              <w:pStyle w:val="17"/>
              <w:widowControl/>
              <w:numPr>
                <w:ilvl w:val="0"/>
                <w:numId w:val="5"/>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国内私营</w:t>
            </w:r>
            <w:r>
              <w:rPr>
                <w:rFonts w:hint="eastAsia" w:ascii="Times New Roman" w:hAnsi="Times New Roman" w:cs="Times New Roman"/>
                <w:sz w:val="24"/>
                <w:szCs w:val="24"/>
                <w:lang w:eastAsia="zh-CN"/>
              </w:rPr>
              <w:t>单位</w:t>
            </w:r>
            <w:r>
              <w:rPr>
                <w:rFonts w:ascii="Times New Roman" w:hAnsi="Times New Roman" w:cs="Times New Roman"/>
                <w:sz w:val="24"/>
                <w:szCs w:val="24"/>
              </w:rPr>
              <w:t>代表</w:t>
            </w:r>
          </w:p>
          <w:p>
            <w:pPr>
              <w:pStyle w:val="17"/>
              <w:widowControl/>
              <w:numPr>
                <w:ilvl w:val="0"/>
                <w:numId w:val="5"/>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外国投资者代表</w:t>
            </w:r>
          </w:p>
          <w:p>
            <w:pPr>
              <w:pStyle w:val="17"/>
              <w:widowControl/>
              <w:numPr>
                <w:ilvl w:val="0"/>
                <w:numId w:val="5"/>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外国公司代表</w:t>
            </w:r>
          </w:p>
          <w:p>
            <w:pPr>
              <w:pStyle w:val="17"/>
              <w:widowControl/>
              <w:numPr>
                <w:ilvl w:val="0"/>
                <w:numId w:val="5"/>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国际金融组织代表</w:t>
            </w:r>
          </w:p>
          <w:p>
            <w:pPr>
              <w:pStyle w:val="17"/>
              <w:widowControl/>
              <w:numPr>
                <w:ilvl w:val="0"/>
                <w:numId w:val="5"/>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sz w:val="24"/>
                <w:szCs w:val="24"/>
              </w:rPr>
              <w:t>行业专家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分论坛三</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color w:val="E26C09"/>
                <w:sz w:val="24"/>
                <w:szCs w:val="24"/>
              </w:rPr>
            </w:pPr>
            <w:r>
              <w:rPr>
                <w:rFonts w:ascii="Times New Roman" w:hAnsi="Times New Roman" w:cs="Times New Roman"/>
                <w:b/>
                <w:bCs/>
                <w:color w:val="E26C09"/>
                <w:sz w:val="24"/>
                <w:szCs w:val="24"/>
              </w:rPr>
              <w:t>塔吉克斯坦是一个绿色能源国家，私营部门在能源发展过程中发挥了重要作用</w:t>
            </w:r>
          </w:p>
          <w:p>
            <w:pPr>
              <w:pStyle w:val="17"/>
              <w:widowControl/>
              <w:numPr>
                <w:ilvl w:val="0"/>
                <w:numId w:val="6"/>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主题：</w:t>
            </w:r>
          </w:p>
          <w:p>
            <w:pPr>
              <w:pStyle w:val="17"/>
              <w:widowControl/>
              <w:numPr>
                <w:ilvl w:val="0"/>
                <w:numId w:val="6"/>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塔吉克斯坦能源市场及其形成过程</w:t>
            </w:r>
          </w:p>
          <w:p>
            <w:pPr>
              <w:pStyle w:val="17"/>
              <w:widowControl/>
              <w:numPr>
                <w:ilvl w:val="0"/>
                <w:numId w:val="6"/>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私营部门在能源领域的参与情况，特别是可再生能源（水电、太阳能及风能）领域</w:t>
            </w:r>
          </w:p>
          <w:p>
            <w:pPr>
              <w:pStyle w:val="17"/>
              <w:widowControl/>
              <w:numPr>
                <w:ilvl w:val="0"/>
                <w:numId w:val="6"/>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能源领域的潜在合作方式，特别是</w:t>
            </w:r>
            <w:r>
              <w:rPr>
                <w:rFonts w:hint="eastAsia" w:ascii="Times New Roman" w:hAnsi="Times New Roman" w:cs="Times New Roman"/>
                <w:sz w:val="24"/>
                <w:szCs w:val="24"/>
                <w:lang w:eastAsia="zh-CN"/>
              </w:rPr>
              <w:t>公营</w:t>
            </w:r>
            <w:r>
              <w:rPr>
                <w:rFonts w:ascii="Times New Roman" w:hAnsi="Times New Roman" w:cs="Times New Roman"/>
                <w:sz w:val="24"/>
                <w:szCs w:val="24"/>
              </w:rPr>
              <w:t>和私营</w:t>
            </w:r>
            <w:r>
              <w:rPr>
                <w:rFonts w:hint="eastAsia" w:ascii="Times New Roman" w:hAnsi="Times New Roman" w:cs="Times New Roman"/>
                <w:sz w:val="24"/>
                <w:szCs w:val="24"/>
                <w:lang w:eastAsia="zh-CN"/>
              </w:rPr>
              <w:t>部门</w:t>
            </w:r>
            <w:r>
              <w:rPr>
                <w:rFonts w:ascii="Times New Roman" w:hAnsi="Times New Roman" w:cs="Times New Roman"/>
                <w:sz w:val="24"/>
                <w:szCs w:val="24"/>
              </w:rPr>
              <w:t>之间的合作方式</w:t>
            </w:r>
          </w:p>
          <w:p>
            <w:pPr>
              <w:pStyle w:val="17"/>
              <w:widowControl/>
              <w:numPr>
                <w:ilvl w:val="0"/>
                <w:numId w:val="6"/>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b/>
                <w:bCs/>
                <w:sz w:val="24"/>
                <w:szCs w:val="24"/>
                <w:u w:val="single"/>
              </w:rPr>
              <w:t>主持人：</w:t>
            </w:r>
            <w:r>
              <w:rPr>
                <w:rFonts w:ascii="Times New Roman" w:hAnsi="Times New Roman" w:cs="Times New Roman"/>
                <w:sz w:val="24"/>
                <w:szCs w:val="24"/>
              </w:rPr>
              <w:t>Juma Daler Shofaqir - 塔吉克斯坦共和国能源与水资源部部长</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演讲嘉宾：</w:t>
            </w:r>
          </w:p>
          <w:p>
            <w:pPr>
              <w:pStyle w:val="17"/>
              <w:widowControl/>
              <w:numPr>
                <w:ilvl w:val="0"/>
                <w:numId w:val="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能源与水资源部代表</w:t>
            </w:r>
          </w:p>
          <w:p>
            <w:pPr>
              <w:pStyle w:val="17"/>
              <w:widowControl/>
              <w:numPr>
                <w:ilvl w:val="0"/>
                <w:numId w:val="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国内私营</w:t>
            </w:r>
            <w:r>
              <w:rPr>
                <w:rFonts w:hint="eastAsia" w:ascii="Times New Roman" w:hAnsi="Times New Roman" w:cs="Times New Roman"/>
                <w:sz w:val="24"/>
                <w:szCs w:val="24"/>
                <w:lang w:eastAsia="zh-CN"/>
              </w:rPr>
              <w:t>单位</w:t>
            </w:r>
            <w:r>
              <w:rPr>
                <w:rFonts w:ascii="Times New Roman" w:hAnsi="Times New Roman" w:cs="Times New Roman"/>
                <w:sz w:val="24"/>
                <w:szCs w:val="24"/>
              </w:rPr>
              <w:t>代表</w:t>
            </w:r>
          </w:p>
          <w:p>
            <w:pPr>
              <w:pStyle w:val="17"/>
              <w:widowControl/>
              <w:numPr>
                <w:ilvl w:val="0"/>
                <w:numId w:val="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外国投资者代表</w:t>
            </w:r>
          </w:p>
          <w:p>
            <w:pPr>
              <w:pStyle w:val="17"/>
              <w:widowControl/>
              <w:numPr>
                <w:ilvl w:val="0"/>
                <w:numId w:val="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外国公司代表</w:t>
            </w:r>
          </w:p>
          <w:p>
            <w:pPr>
              <w:pStyle w:val="17"/>
              <w:widowControl/>
              <w:numPr>
                <w:ilvl w:val="0"/>
                <w:numId w:val="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国际金融组织代表</w:t>
            </w:r>
          </w:p>
          <w:p>
            <w:pPr>
              <w:pStyle w:val="17"/>
              <w:widowControl/>
              <w:numPr>
                <w:ilvl w:val="0"/>
                <w:numId w:val="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行业专家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分论坛四</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color w:val="E26C09"/>
                <w:sz w:val="24"/>
                <w:szCs w:val="24"/>
              </w:rPr>
            </w:pPr>
            <w:r>
              <w:rPr>
                <w:rFonts w:ascii="Times New Roman" w:hAnsi="Times New Roman" w:cs="Times New Roman"/>
                <w:b/>
                <w:bCs/>
                <w:color w:val="E26C09"/>
                <w:sz w:val="24"/>
                <w:szCs w:val="24"/>
              </w:rPr>
              <w:t>金融体系在商业发展和吸引投资方面的作用</w:t>
            </w:r>
          </w:p>
          <w:p>
            <w:pPr>
              <w:pStyle w:val="17"/>
              <w:widowControl/>
              <w:numPr>
                <w:ilvl w:val="0"/>
                <w:numId w:val="8"/>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主题：</w:t>
            </w:r>
          </w:p>
          <w:p>
            <w:pPr>
              <w:pStyle w:val="17"/>
              <w:widowControl/>
              <w:numPr>
                <w:ilvl w:val="0"/>
                <w:numId w:val="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塔吉克斯坦银行业系统的投资机会</w:t>
            </w:r>
          </w:p>
          <w:p>
            <w:pPr>
              <w:pStyle w:val="17"/>
              <w:widowControl/>
              <w:numPr>
                <w:ilvl w:val="0"/>
                <w:numId w:val="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银行业系统在商业发展中的作用</w:t>
            </w:r>
          </w:p>
          <w:p>
            <w:pPr>
              <w:pStyle w:val="17"/>
              <w:widowControl/>
              <w:numPr>
                <w:ilvl w:val="0"/>
                <w:numId w:val="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信贷机构在重要经济领域融资和吸引外资方面的经验</w:t>
            </w:r>
          </w:p>
          <w:p>
            <w:pPr>
              <w:pStyle w:val="17"/>
              <w:widowControl/>
              <w:numPr>
                <w:ilvl w:val="0"/>
                <w:numId w:val="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塔吉克斯坦伊斯兰银行</w:t>
            </w:r>
            <w:r>
              <w:rPr>
                <w:rFonts w:hint="eastAsia" w:ascii="Times New Roman" w:hAnsi="Times New Roman" w:cs="Times New Roman"/>
                <w:sz w:val="24"/>
                <w:szCs w:val="24"/>
                <w:lang w:eastAsia="zh-CN"/>
              </w:rPr>
              <w:t>业务发展</w:t>
            </w:r>
            <w:r>
              <w:rPr>
                <w:rFonts w:ascii="Times New Roman" w:hAnsi="Times New Roman" w:cs="Times New Roman"/>
                <w:sz w:val="24"/>
                <w:szCs w:val="24"/>
              </w:rPr>
              <w:t>现状，以及进一步发展的潜力和前景</w:t>
            </w:r>
          </w:p>
          <w:p>
            <w:pPr>
              <w:pStyle w:val="17"/>
              <w:widowControl/>
              <w:numPr>
                <w:ilvl w:val="0"/>
                <w:numId w:val="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保险市场在商业发展和投资活动中的重要作用</w:t>
            </w:r>
          </w:p>
          <w:p>
            <w:pPr>
              <w:pStyle w:val="17"/>
              <w:widowControl/>
              <w:numPr>
                <w:ilvl w:val="0"/>
                <w:numId w:val="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塔吉克斯坦非现金结算和现代支付手段的发展</w:t>
            </w:r>
          </w:p>
          <w:p>
            <w:pPr>
              <w:pStyle w:val="17"/>
              <w:widowControl/>
              <w:numPr>
                <w:ilvl w:val="0"/>
                <w:numId w:val="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b/>
                <w:bCs/>
                <w:sz w:val="24"/>
                <w:szCs w:val="24"/>
                <w:u w:val="single"/>
              </w:rPr>
              <w:t>主持人：</w:t>
            </w:r>
            <w:r>
              <w:rPr>
                <w:rFonts w:ascii="Times New Roman" w:hAnsi="Times New Roman" w:cs="Times New Roman"/>
                <w:sz w:val="24"/>
                <w:szCs w:val="24"/>
              </w:rPr>
              <w:t>Hokim Kholiqzoda - 塔吉克斯坦国家银行行长</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演讲嘉宾：</w:t>
            </w:r>
          </w:p>
          <w:p>
            <w:pPr>
              <w:pStyle w:val="17"/>
              <w:widowControl/>
              <w:numPr>
                <w:ilvl w:val="0"/>
                <w:numId w:val="1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塔吉克斯坦国家银行代表</w:t>
            </w:r>
          </w:p>
          <w:p>
            <w:pPr>
              <w:pStyle w:val="17"/>
              <w:widowControl/>
              <w:numPr>
                <w:ilvl w:val="0"/>
                <w:numId w:val="1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塔吉克斯坦金融信贷组织代表</w:t>
            </w:r>
          </w:p>
          <w:p>
            <w:pPr>
              <w:pStyle w:val="17"/>
              <w:widowControl/>
              <w:numPr>
                <w:ilvl w:val="0"/>
                <w:numId w:val="1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保险组织代表</w:t>
            </w:r>
          </w:p>
          <w:p>
            <w:pPr>
              <w:pStyle w:val="17"/>
              <w:widowControl/>
              <w:numPr>
                <w:ilvl w:val="0"/>
                <w:numId w:val="1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国际金融组织代表</w:t>
            </w:r>
          </w:p>
          <w:p>
            <w:pPr>
              <w:pStyle w:val="17"/>
              <w:widowControl/>
              <w:numPr>
                <w:ilvl w:val="0"/>
                <w:numId w:val="1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分论坛五</w:t>
            </w:r>
          </w:p>
        </w:tc>
        <w:tc>
          <w:tcPr>
            <w:tcW w:w="4085" w:type="pct"/>
          </w:tcPr>
          <w:p>
            <w:pPr>
              <w:pStyle w:val="17"/>
              <w:widowControl/>
              <w:autoSpaceDE/>
              <w:autoSpaceDN/>
              <w:adjustRightInd w:val="0"/>
              <w:snapToGrid w:val="0"/>
              <w:spacing w:before="120" w:beforeLines="50" w:after="120" w:afterLines="50" w:line="252" w:lineRule="auto"/>
              <w:jc w:val="both"/>
              <w:rPr>
                <w:rFonts w:hint="eastAsia" w:ascii="Times New Roman" w:hAnsi="Times New Roman" w:eastAsia="宋体" w:cs="Times New Roman"/>
                <w:b/>
                <w:bCs/>
                <w:color w:val="E26C09"/>
                <w:sz w:val="24"/>
                <w:szCs w:val="24"/>
                <w:lang w:eastAsia="zh-CN"/>
              </w:rPr>
            </w:pPr>
            <w:r>
              <w:rPr>
                <w:rFonts w:ascii="Times New Roman" w:hAnsi="Times New Roman" w:cs="Times New Roman"/>
                <w:b/>
                <w:bCs/>
                <w:color w:val="E26C09"/>
                <w:sz w:val="24"/>
                <w:szCs w:val="24"/>
              </w:rPr>
              <w:t>塔吉克斯坦绿色经济、数字化和自由经济区</w:t>
            </w:r>
            <w:r>
              <w:rPr>
                <w:rFonts w:hint="eastAsia" w:ascii="Times New Roman" w:hAnsi="Times New Roman" w:cs="Times New Roman"/>
                <w:b/>
                <w:bCs/>
                <w:color w:val="E26C09"/>
                <w:sz w:val="24"/>
                <w:szCs w:val="24"/>
                <w:lang w:eastAsia="zh-CN"/>
              </w:rPr>
              <w:t>的</w:t>
            </w:r>
            <w:r>
              <w:rPr>
                <w:rFonts w:ascii="Times New Roman" w:hAnsi="Times New Roman" w:cs="Times New Roman"/>
                <w:b/>
                <w:bCs/>
                <w:color w:val="E26C09"/>
                <w:sz w:val="24"/>
                <w:szCs w:val="24"/>
              </w:rPr>
              <w:t>发展</w:t>
            </w:r>
            <w:r>
              <w:rPr>
                <w:rFonts w:hint="eastAsia" w:ascii="Times New Roman" w:hAnsi="Times New Roman" w:cs="Times New Roman"/>
                <w:b/>
                <w:bCs/>
                <w:color w:val="E26C09"/>
                <w:sz w:val="24"/>
                <w:szCs w:val="24"/>
                <w:lang w:eastAsia="zh-CN"/>
              </w:rPr>
              <w:t>情况</w:t>
            </w:r>
          </w:p>
          <w:p>
            <w:pPr>
              <w:pStyle w:val="17"/>
              <w:widowControl/>
              <w:numPr>
                <w:ilvl w:val="0"/>
                <w:numId w:val="11"/>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主题：</w:t>
            </w:r>
          </w:p>
          <w:p>
            <w:pPr>
              <w:pStyle w:val="17"/>
              <w:widowControl/>
              <w:numPr>
                <w:ilvl w:val="0"/>
                <w:numId w:val="11"/>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自由经济区的投资机会</w:t>
            </w:r>
          </w:p>
          <w:p>
            <w:pPr>
              <w:pStyle w:val="17"/>
              <w:widowControl/>
              <w:numPr>
                <w:ilvl w:val="0"/>
                <w:numId w:val="11"/>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国家经济数字化的重要作用</w:t>
            </w:r>
          </w:p>
          <w:p>
            <w:pPr>
              <w:pStyle w:val="17"/>
              <w:widowControl/>
              <w:numPr>
                <w:ilvl w:val="0"/>
                <w:numId w:val="11"/>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塔吉克斯坦的绿色经济实力</w:t>
            </w:r>
          </w:p>
          <w:p>
            <w:pPr>
              <w:pStyle w:val="17"/>
              <w:widowControl/>
              <w:numPr>
                <w:ilvl w:val="0"/>
                <w:numId w:val="11"/>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自由经济区</w:t>
            </w:r>
            <w:r>
              <w:rPr>
                <w:rFonts w:hint="eastAsia" w:ascii="Times New Roman" w:hAnsi="Times New Roman" w:cs="Times New Roman"/>
                <w:sz w:val="24"/>
                <w:szCs w:val="24"/>
                <w:lang w:eastAsia="zh-CN"/>
              </w:rPr>
              <w:t>“</w:t>
            </w:r>
            <w:r>
              <w:rPr>
                <w:rFonts w:ascii="Times New Roman" w:hAnsi="Times New Roman" w:cs="Times New Roman"/>
                <w:sz w:val="24"/>
                <w:szCs w:val="24"/>
              </w:rPr>
              <w:t>单一窗口</w:t>
            </w:r>
            <w:r>
              <w:rPr>
                <w:rFonts w:hint="eastAsia" w:ascii="Times New Roman" w:hAnsi="Times New Roman" w:cs="Times New Roman"/>
                <w:sz w:val="24"/>
                <w:szCs w:val="24"/>
                <w:lang w:eastAsia="zh-CN"/>
              </w:rPr>
              <w:t>”</w:t>
            </w:r>
            <w:r>
              <w:rPr>
                <w:rFonts w:ascii="Times New Roman" w:hAnsi="Times New Roman" w:cs="Times New Roman"/>
                <w:sz w:val="24"/>
                <w:szCs w:val="24"/>
              </w:rPr>
              <w:t>项目介绍</w:t>
            </w:r>
          </w:p>
          <w:p>
            <w:pPr>
              <w:pStyle w:val="17"/>
              <w:widowControl/>
              <w:numPr>
                <w:ilvl w:val="0"/>
                <w:numId w:val="11"/>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自由经济区主体介绍</w:t>
            </w:r>
          </w:p>
          <w:p>
            <w:pPr>
              <w:pStyle w:val="17"/>
              <w:widowControl/>
              <w:numPr>
                <w:ilvl w:val="0"/>
                <w:numId w:val="11"/>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u w:val="single"/>
              </w:rPr>
              <w:t>主持人：</w:t>
            </w:r>
            <w:r>
              <w:rPr>
                <w:rFonts w:ascii="Times New Roman" w:hAnsi="Times New Roman" w:cs="Times New Roman"/>
                <w:sz w:val="24"/>
                <w:szCs w:val="24"/>
              </w:rPr>
              <w:t>Zavqizoda Zavqi Amin - 塔吉克斯坦共和国经济发展与贸易部部长</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演讲嘉宾：</w:t>
            </w:r>
          </w:p>
          <w:p>
            <w:pPr>
              <w:pStyle w:val="17"/>
              <w:widowControl/>
              <w:numPr>
                <w:ilvl w:val="0"/>
                <w:numId w:val="12"/>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经济发展与贸易部代表</w:t>
            </w:r>
          </w:p>
          <w:p>
            <w:pPr>
              <w:pStyle w:val="17"/>
              <w:widowControl/>
              <w:numPr>
                <w:ilvl w:val="0"/>
                <w:numId w:val="12"/>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全国经理人与营销专家协会代表</w:t>
            </w:r>
          </w:p>
          <w:p>
            <w:pPr>
              <w:pStyle w:val="17"/>
              <w:widowControl/>
              <w:numPr>
                <w:ilvl w:val="0"/>
                <w:numId w:val="12"/>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Sugd自由经济区内的KF Fortuna Co公司代表</w:t>
            </w:r>
          </w:p>
          <w:p>
            <w:pPr>
              <w:pStyle w:val="17"/>
              <w:widowControl/>
              <w:numPr>
                <w:ilvl w:val="0"/>
                <w:numId w:val="12"/>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Dangara自由经济区内的Gayur Sanoat公司代表</w:t>
            </w:r>
          </w:p>
          <w:p>
            <w:pPr>
              <w:pStyle w:val="17"/>
              <w:widowControl/>
              <w:numPr>
                <w:ilvl w:val="0"/>
                <w:numId w:val="12"/>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Dangara自由经济区内的Shenxi公司代表</w:t>
            </w:r>
          </w:p>
          <w:p>
            <w:pPr>
              <w:pStyle w:val="17"/>
              <w:widowControl/>
              <w:numPr>
                <w:ilvl w:val="0"/>
                <w:numId w:val="12"/>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分论坛六</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color w:val="E26C09"/>
                <w:sz w:val="24"/>
                <w:szCs w:val="24"/>
              </w:rPr>
            </w:pPr>
            <w:r>
              <w:rPr>
                <w:rFonts w:hint="eastAsia" w:ascii="Times New Roman" w:hAnsi="Times New Roman" w:cs="Times New Roman"/>
                <w:b/>
                <w:bCs/>
                <w:color w:val="E26C09"/>
                <w:sz w:val="24"/>
                <w:szCs w:val="24"/>
                <w:lang w:eastAsia="zh-CN"/>
              </w:rPr>
              <w:t>绿色</w:t>
            </w:r>
            <w:r>
              <w:rPr>
                <w:rFonts w:ascii="Times New Roman" w:hAnsi="Times New Roman" w:cs="Times New Roman"/>
                <w:b/>
                <w:bCs/>
                <w:color w:val="E26C09"/>
                <w:sz w:val="24"/>
                <w:szCs w:val="24"/>
              </w:rPr>
              <w:t>农产品的种植、生产及出口至国际市场的投资机会</w:t>
            </w:r>
          </w:p>
          <w:p>
            <w:pPr>
              <w:pStyle w:val="17"/>
              <w:widowControl/>
              <w:numPr>
                <w:ilvl w:val="0"/>
                <w:numId w:val="13"/>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主题：</w:t>
            </w:r>
          </w:p>
          <w:p>
            <w:pPr>
              <w:pStyle w:val="17"/>
              <w:widowControl/>
              <w:numPr>
                <w:ilvl w:val="0"/>
                <w:numId w:val="1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农业综合企业价值链</w:t>
            </w:r>
          </w:p>
          <w:p>
            <w:pPr>
              <w:pStyle w:val="17"/>
              <w:widowControl/>
              <w:numPr>
                <w:ilvl w:val="0"/>
                <w:numId w:val="1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农业领域生产集群的建立及其重要性</w:t>
            </w:r>
          </w:p>
          <w:p>
            <w:pPr>
              <w:pStyle w:val="17"/>
              <w:widowControl/>
              <w:numPr>
                <w:ilvl w:val="0"/>
                <w:numId w:val="1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农产品生产和出口特惠</w:t>
            </w:r>
          </w:p>
          <w:p>
            <w:pPr>
              <w:pStyle w:val="17"/>
              <w:widowControl/>
              <w:numPr>
                <w:ilvl w:val="0"/>
                <w:numId w:val="1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确保粮食安全问题</w:t>
            </w:r>
          </w:p>
          <w:p>
            <w:pPr>
              <w:pStyle w:val="17"/>
              <w:widowControl/>
              <w:numPr>
                <w:ilvl w:val="0"/>
                <w:numId w:val="1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农业现代化设备的先进提供方式</w:t>
            </w:r>
          </w:p>
          <w:p>
            <w:pPr>
              <w:pStyle w:val="17"/>
              <w:widowControl/>
              <w:numPr>
                <w:ilvl w:val="0"/>
                <w:numId w:val="1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农业领域的数字化</w:t>
            </w:r>
          </w:p>
          <w:p>
            <w:pPr>
              <w:pStyle w:val="17"/>
              <w:widowControl/>
              <w:numPr>
                <w:ilvl w:val="0"/>
                <w:numId w:val="1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hint="eastAsia" w:ascii="Times New Roman" w:hAnsi="Times New Roman" w:cs="Times New Roman"/>
                <w:sz w:val="24"/>
                <w:szCs w:val="24"/>
                <w:lang w:eastAsia="zh-CN"/>
              </w:rPr>
              <w:t>进入</w:t>
            </w:r>
            <w:r>
              <w:rPr>
                <w:rFonts w:ascii="Times New Roman" w:hAnsi="Times New Roman" w:cs="Times New Roman"/>
                <w:sz w:val="24"/>
                <w:szCs w:val="24"/>
              </w:rPr>
              <w:t>全球农业市场的方式</w:t>
            </w:r>
          </w:p>
          <w:p>
            <w:pPr>
              <w:pStyle w:val="17"/>
              <w:widowControl/>
              <w:numPr>
                <w:ilvl w:val="0"/>
                <w:numId w:val="1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吸引资本至农业领域</w:t>
            </w:r>
          </w:p>
          <w:p>
            <w:pPr>
              <w:pStyle w:val="17"/>
              <w:widowControl/>
              <w:numPr>
                <w:ilvl w:val="0"/>
                <w:numId w:val="13"/>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b/>
                <w:bCs/>
                <w:sz w:val="24"/>
                <w:szCs w:val="24"/>
                <w:u w:val="single"/>
              </w:rPr>
              <w:t>主持人：</w:t>
            </w:r>
            <w:r>
              <w:rPr>
                <w:rFonts w:ascii="Times New Roman" w:hAnsi="Times New Roman" w:cs="Times New Roman"/>
                <w:sz w:val="24"/>
                <w:szCs w:val="24"/>
              </w:rPr>
              <w:t>Hakimzoda Qurbon - 塔吉克斯坦共和国农业部部长</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演讲嘉宾：</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白罗斯共和国农业部部长</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塔吉克斯坦共和国政府</w:t>
            </w:r>
            <w:r>
              <w:rPr>
                <w:rFonts w:hint="eastAsia" w:ascii="Times New Roman" w:hAnsi="Times New Roman" w:cs="Times New Roman"/>
                <w:sz w:val="24"/>
                <w:szCs w:val="24"/>
                <w:lang w:eastAsia="zh-CN"/>
              </w:rPr>
              <w:t>粮食</w:t>
            </w:r>
            <w:r>
              <w:rPr>
                <w:rFonts w:ascii="Times New Roman" w:hAnsi="Times New Roman" w:cs="Times New Roman"/>
                <w:sz w:val="24"/>
                <w:szCs w:val="24"/>
              </w:rPr>
              <w:t>安全委员会代表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塔吉克斯坦共和国政府出口管理局代表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塔吉克斯坦共和国政府土地卫生与灌溉局代表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塔吉克斯坦-韩国友好协会代表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AIKT农业发展经济与系统研究院代表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Abrikos and Company公司代表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Marmari公司代表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Juntai Khatlon Sin-Silu公司代表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粮食及农业组织（FAO）代表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世界银行代表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亚洲开发银行代表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GIZ代表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国际农业发展基金（IFAD）代表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Sarob合作社行业专家代表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hint="eastAsia" w:ascii="Times New Roman" w:hAnsi="Times New Roman" w:cs="Times New Roman"/>
                <w:sz w:val="24"/>
                <w:szCs w:val="24"/>
                <w:lang w:eastAsia="zh-CN"/>
              </w:rPr>
              <w:t>“</w:t>
            </w:r>
            <w:r>
              <w:rPr>
                <w:rFonts w:ascii="Times New Roman" w:hAnsi="Times New Roman" w:cs="Times New Roman"/>
                <w:sz w:val="24"/>
                <w:szCs w:val="24"/>
              </w:rPr>
              <w:t>Nexigol Consultant</w:t>
            </w:r>
            <w:r>
              <w:rPr>
                <w:rFonts w:hint="eastAsia" w:ascii="Times New Roman" w:hAnsi="Times New Roman" w:cs="Times New Roman"/>
                <w:sz w:val="24"/>
                <w:szCs w:val="24"/>
                <w:lang w:eastAsia="zh-CN"/>
              </w:rPr>
              <w:t>”</w:t>
            </w:r>
            <w:r>
              <w:rPr>
                <w:rFonts w:ascii="Times New Roman" w:hAnsi="Times New Roman" w:cs="Times New Roman"/>
                <w:sz w:val="24"/>
                <w:szCs w:val="24"/>
              </w:rPr>
              <w:t>TJ代表</w:t>
            </w:r>
          </w:p>
          <w:p>
            <w:pPr>
              <w:pStyle w:val="17"/>
              <w:widowControl/>
              <w:numPr>
                <w:ilvl w:val="0"/>
                <w:numId w:val="14"/>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分论坛七</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color w:val="E26C09"/>
                <w:sz w:val="24"/>
                <w:szCs w:val="24"/>
              </w:rPr>
            </w:pPr>
            <w:r>
              <w:rPr>
                <w:rFonts w:ascii="Times New Roman" w:hAnsi="Times New Roman" w:cs="Times New Roman"/>
                <w:b/>
                <w:bCs/>
                <w:color w:val="E26C09"/>
                <w:sz w:val="24"/>
                <w:szCs w:val="24"/>
              </w:rPr>
              <w:t>运输、物流及交通通信的发展</w:t>
            </w:r>
          </w:p>
          <w:p>
            <w:pPr>
              <w:pStyle w:val="17"/>
              <w:widowControl/>
              <w:numPr>
                <w:ilvl w:val="0"/>
                <w:numId w:val="15"/>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主题：</w:t>
            </w:r>
          </w:p>
          <w:p>
            <w:pPr>
              <w:pStyle w:val="17"/>
              <w:widowControl/>
              <w:numPr>
                <w:ilvl w:val="0"/>
                <w:numId w:val="15"/>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该领域的重点项目介绍</w:t>
            </w:r>
          </w:p>
          <w:p>
            <w:pPr>
              <w:pStyle w:val="17"/>
              <w:widowControl/>
              <w:numPr>
                <w:ilvl w:val="0"/>
                <w:numId w:val="15"/>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国际化标准交通网络的发展</w:t>
            </w:r>
          </w:p>
          <w:p>
            <w:pPr>
              <w:pStyle w:val="17"/>
              <w:widowControl/>
              <w:numPr>
                <w:ilvl w:val="0"/>
                <w:numId w:val="15"/>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多元化物流服务介绍——塔吉克斯坦的运输实力</w:t>
            </w:r>
          </w:p>
          <w:p>
            <w:pPr>
              <w:pStyle w:val="17"/>
              <w:widowControl/>
              <w:numPr>
                <w:ilvl w:val="0"/>
                <w:numId w:val="15"/>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铁路运输网络的现代化及发展保障</w:t>
            </w:r>
          </w:p>
          <w:p>
            <w:pPr>
              <w:pStyle w:val="17"/>
              <w:widowControl/>
              <w:numPr>
                <w:ilvl w:val="0"/>
                <w:numId w:val="15"/>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城市交通基础设施的发展</w:t>
            </w:r>
          </w:p>
          <w:p>
            <w:pPr>
              <w:pStyle w:val="17"/>
              <w:widowControl/>
              <w:numPr>
                <w:ilvl w:val="0"/>
                <w:numId w:val="15"/>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物流服务提供商的机遇</w:t>
            </w:r>
          </w:p>
          <w:p>
            <w:pPr>
              <w:pStyle w:val="17"/>
              <w:widowControl/>
              <w:numPr>
                <w:ilvl w:val="0"/>
                <w:numId w:val="15"/>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b/>
                <w:bCs/>
                <w:sz w:val="24"/>
                <w:szCs w:val="24"/>
                <w:u w:val="single"/>
              </w:rPr>
              <w:t>主持人：</w:t>
            </w:r>
            <w:r>
              <w:rPr>
                <w:rFonts w:ascii="Times New Roman" w:hAnsi="Times New Roman" w:cs="Times New Roman"/>
                <w:sz w:val="24"/>
                <w:szCs w:val="24"/>
              </w:rPr>
              <w:t>Azim Ibrohim - 塔吉克斯坦共和国交通部部长</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演讲嘉宾：</w:t>
            </w:r>
          </w:p>
          <w:p>
            <w:pPr>
              <w:pStyle w:val="17"/>
              <w:widowControl/>
              <w:numPr>
                <w:ilvl w:val="0"/>
                <w:numId w:val="16"/>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公营</w:t>
            </w:r>
            <w:r>
              <w:rPr>
                <w:rFonts w:hint="eastAsia" w:ascii="Times New Roman" w:hAnsi="Times New Roman" w:cs="Times New Roman"/>
                <w:sz w:val="24"/>
                <w:szCs w:val="24"/>
                <w:lang w:eastAsia="zh-CN"/>
              </w:rPr>
              <w:t>单位</w:t>
            </w:r>
            <w:r>
              <w:rPr>
                <w:rFonts w:ascii="Times New Roman" w:hAnsi="Times New Roman" w:cs="Times New Roman"/>
                <w:sz w:val="24"/>
                <w:szCs w:val="24"/>
              </w:rPr>
              <w:t>代表</w:t>
            </w:r>
          </w:p>
          <w:p>
            <w:pPr>
              <w:pStyle w:val="17"/>
              <w:widowControl/>
              <w:numPr>
                <w:ilvl w:val="0"/>
                <w:numId w:val="16"/>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私营</w:t>
            </w:r>
            <w:r>
              <w:rPr>
                <w:rFonts w:hint="eastAsia" w:ascii="Times New Roman" w:hAnsi="Times New Roman" w:cs="Times New Roman"/>
                <w:sz w:val="24"/>
                <w:szCs w:val="24"/>
                <w:lang w:eastAsia="zh-CN"/>
              </w:rPr>
              <w:t>单位</w:t>
            </w:r>
            <w:r>
              <w:rPr>
                <w:rFonts w:ascii="Times New Roman" w:hAnsi="Times New Roman" w:cs="Times New Roman"/>
                <w:sz w:val="24"/>
                <w:szCs w:val="24"/>
              </w:rPr>
              <w:t>代表</w:t>
            </w:r>
          </w:p>
          <w:p>
            <w:pPr>
              <w:pStyle w:val="17"/>
              <w:widowControl/>
              <w:numPr>
                <w:ilvl w:val="0"/>
                <w:numId w:val="16"/>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外国投资者代表</w:t>
            </w:r>
          </w:p>
          <w:p>
            <w:pPr>
              <w:pStyle w:val="17"/>
              <w:widowControl/>
              <w:numPr>
                <w:ilvl w:val="0"/>
                <w:numId w:val="16"/>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发展伙伴代表</w:t>
            </w:r>
          </w:p>
          <w:p>
            <w:pPr>
              <w:pStyle w:val="17"/>
              <w:widowControl/>
              <w:numPr>
                <w:ilvl w:val="0"/>
                <w:numId w:val="16"/>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行业专家</w:t>
            </w:r>
          </w:p>
          <w:p>
            <w:pPr>
              <w:pStyle w:val="17"/>
              <w:widowControl/>
              <w:numPr>
                <w:ilvl w:val="0"/>
                <w:numId w:val="16"/>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分论坛八</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color w:val="E26C09"/>
                <w:sz w:val="24"/>
                <w:szCs w:val="24"/>
              </w:rPr>
            </w:pPr>
            <w:r>
              <w:rPr>
                <w:rFonts w:ascii="Times New Roman" w:hAnsi="Times New Roman" w:cs="Times New Roman"/>
                <w:b/>
                <w:bCs/>
                <w:color w:val="E26C09"/>
                <w:sz w:val="24"/>
                <w:szCs w:val="24"/>
              </w:rPr>
              <w:t>塔吉克斯坦共和国医疗保健领域的投资机会，以及制药业和私人医疗领域的发展前景</w:t>
            </w:r>
          </w:p>
          <w:p>
            <w:pPr>
              <w:pStyle w:val="17"/>
              <w:widowControl/>
              <w:numPr>
                <w:ilvl w:val="0"/>
                <w:numId w:val="1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主题：</w:t>
            </w:r>
          </w:p>
          <w:p>
            <w:pPr>
              <w:pStyle w:val="17"/>
              <w:widowControl/>
              <w:numPr>
                <w:ilvl w:val="0"/>
                <w:numId w:val="1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国内药品和医疗用品生产发展中的国内外投资</w:t>
            </w:r>
          </w:p>
          <w:p>
            <w:pPr>
              <w:pStyle w:val="17"/>
              <w:widowControl/>
              <w:numPr>
                <w:ilvl w:val="0"/>
                <w:numId w:val="1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加强与外资的合作，以建立药品和医疗用品合资生产企业</w:t>
            </w:r>
          </w:p>
          <w:p>
            <w:pPr>
              <w:pStyle w:val="17"/>
              <w:widowControl/>
              <w:numPr>
                <w:ilvl w:val="0"/>
                <w:numId w:val="1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建立具有现代化技术的新型药品和医疗用品生产企业，创造新的就业</w:t>
            </w:r>
            <w:r>
              <w:rPr>
                <w:rFonts w:ascii="Times New Roman" w:hAnsi="Times New Roman" w:cs="Times New Roman"/>
                <w:sz w:val="24"/>
                <w:szCs w:val="24"/>
              </w:rPr>
              <w:br w:type="textWrapping"/>
            </w:r>
            <w:r>
              <w:rPr>
                <w:rFonts w:ascii="Times New Roman" w:hAnsi="Times New Roman" w:cs="Times New Roman"/>
                <w:sz w:val="24"/>
                <w:szCs w:val="24"/>
              </w:rPr>
              <w:t>岗位</w:t>
            </w:r>
          </w:p>
          <w:p>
            <w:pPr>
              <w:pStyle w:val="17"/>
              <w:widowControl/>
              <w:numPr>
                <w:ilvl w:val="0"/>
                <w:numId w:val="1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增加具有竞争力的出口导向型产品的生产</w:t>
            </w:r>
          </w:p>
          <w:p>
            <w:pPr>
              <w:pStyle w:val="17"/>
              <w:widowControl/>
              <w:numPr>
                <w:ilvl w:val="0"/>
                <w:numId w:val="1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吸引资金发展私人医疗基础设施</w:t>
            </w:r>
          </w:p>
          <w:p>
            <w:pPr>
              <w:pStyle w:val="17"/>
              <w:widowControl/>
              <w:numPr>
                <w:ilvl w:val="0"/>
                <w:numId w:val="1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鼓励引进现代化医疗技术</w:t>
            </w:r>
          </w:p>
          <w:p>
            <w:pPr>
              <w:pStyle w:val="17"/>
              <w:widowControl/>
              <w:numPr>
                <w:ilvl w:val="0"/>
                <w:numId w:val="1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在康复过程中对国家自然资源的优先利用，以及塔吉克斯坦的水资源和药用植物介绍</w:t>
            </w:r>
          </w:p>
          <w:p>
            <w:pPr>
              <w:pStyle w:val="17"/>
              <w:widowControl/>
              <w:numPr>
                <w:ilvl w:val="0"/>
                <w:numId w:val="1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协调实施健康旅游发展行动</w:t>
            </w:r>
          </w:p>
          <w:p>
            <w:pPr>
              <w:pStyle w:val="17"/>
              <w:widowControl/>
              <w:numPr>
                <w:ilvl w:val="0"/>
                <w:numId w:val="17"/>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b/>
                <w:bCs/>
                <w:sz w:val="24"/>
                <w:szCs w:val="24"/>
                <w:u w:val="single"/>
              </w:rPr>
              <w:t>主持人：</w:t>
            </w:r>
            <w:r>
              <w:rPr>
                <w:rFonts w:ascii="Times New Roman" w:hAnsi="Times New Roman" w:cs="Times New Roman"/>
                <w:sz w:val="24"/>
                <w:szCs w:val="24"/>
              </w:rPr>
              <w:t>Abdullozoda Jamoliddin - 塔吉克斯坦共和国卫生与社会保护部部长</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演讲嘉宾：</w:t>
            </w:r>
          </w:p>
          <w:p>
            <w:pPr>
              <w:pStyle w:val="17"/>
              <w:widowControl/>
              <w:numPr>
                <w:ilvl w:val="0"/>
                <w:numId w:val="18"/>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塔吉克斯坦共和国药剂师协会主席</w:t>
            </w:r>
          </w:p>
          <w:p>
            <w:pPr>
              <w:pStyle w:val="17"/>
              <w:widowControl/>
              <w:numPr>
                <w:ilvl w:val="0"/>
                <w:numId w:val="18"/>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塔吉克斯坦国家科学院教授</w:t>
            </w:r>
          </w:p>
          <w:p>
            <w:pPr>
              <w:pStyle w:val="17"/>
              <w:widowControl/>
              <w:numPr>
                <w:ilvl w:val="0"/>
                <w:numId w:val="18"/>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Shohambari Resort股份公司代表</w:t>
            </w:r>
          </w:p>
          <w:p>
            <w:pPr>
              <w:pStyle w:val="17"/>
              <w:widowControl/>
              <w:numPr>
                <w:ilvl w:val="0"/>
                <w:numId w:val="18"/>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塔吉克斯坦私人医疗发展基金会主席</w:t>
            </w:r>
          </w:p>
          <w:p>
            <w:pPr>
              <w:pStyle w:val="17"/>
              <w:widowControl/>
              <w:numPr>
                <w:ilvl w:val="0"/>
                <w:numId w:val="18"/>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分论坛九</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color w:val="E26C09"/>
                <w:sz w:val="24"/>
                <w:szCs w:val="24"/>
              </w:rPr>
            </w:pPr>
            <w:r>
              <w:rPr>
                <w:rFonts w:ascii="Times New Roman" w:hAnsi="Times New Roman" w:cs="Times New Roman"/>
                <w:b/>
                <w:bCs/>
                <w:color w:val="E26C09"/>
                <w:sz w:val="24"/>
                <w:szCs w:val="24"/>
              </w:rPr>
              <w:t>塔吉克斯坦</w:t>
            </w:r>
            <w:r>
              <w:rPr>
                <w:rFonts w:hint="eastAsia" w:ascii="Times New Roman" w:hAnsi="Times New Roman" w:cs="Times New Roman"/>
                <w:b/>
                <w:bCs/>
                <w:color w:val="E26C09"/>
                <w:sz w:val="24"/>
                <w:szCs w:val="24"/>
                <w:lang w:eastAsia="zh-CN"/>
              </w:rPr>
              <w:t>——</w:t>
            </w:r>
            <w:r>
              <w:rPr>
                <w:rFonts w:ascii="Times New Roman" w:hAnsi="Times New Roman" w:cs="Times New Roman"/>
                <w:b/>
                <w:bCs/>
                <w:color w:val="E26C09"/>
                <w:sz w:val="24"/>
                <w:szCs w:val="24"/>
              </w:rPr>
              <w:t>旅游大国的旅游业发展机会</w:t>
            </w:r>
          </w:p>
          <w:p>
            <w:pPr>
              <w:pStyle w:val="17"/>
              <w:widowControl/>
              <w:numPr>
                <w:ilvl w:val="0"/>
                <w:numId w:val="19"/>
              </w:numPr>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主题：</w:t>
            </w:r>
          </w:p>
          <w:p>
            <w:pPr>
              <w:pStyle w:val="17"/>
              <w:widowControl/>
              <w:numPr>
                <w:ilvl w:val="0"/>
                <w:numId w:val="1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完善旅游业监管法律框架，推动旅游业改革</w:t>
            </w:r>
          </w:p>
          <w:p>
            <w:pPr>
              <w:pStyle w:val="17"/>
              <w:widowControl/>
              <w:numPr>
                <w:ilvl w:val="0"/>
                <w:numId w:val="1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塔吉克斯坦旅游业的特惠政策</w:t>
            </w:r>
          </w:p>
          <w:p>
            <w:pPr>
              <w:pStyle w:val="17"/>
              <w:widowControl/>
              <w:numPr>
                <w:ilvl w:val="0"/>
                <w:numId w:val="1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旅游投资项目介绍</w:t>
            </w:r>
          </w:p>
          <w:p>
            <w:pPr>
              <w:pStyle w:val="17"/>
              <w:widowControl/>
              <w:numPr>
                <w:ilvl w:val="0"/>
                <w:numId w:val="1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旅游基础设施开发是有效利用旅游资源和机会的重要因素</w:t>
            </w:r>
          </w:p>
          <w:p>
            <w:pPr>
              <w:pStyle w:val="17"/>
              <w:widowControl/>
              <w:numPr>
                <w:ilvl w:val="0"/>
                <w:numId w:val="1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塔吉克斯坦的主要旅游目的地——为什么塔吉克斯坦值得一游</w:t>
            </w:r>
          </w:p>
          <w:p>
            <w:pPr>
              <w:pStyle w:val="17"/>
              <w:widowControl/>
              <w:numPr>
                <w:ilvl w:val="0"/>
                <w:numId w:val="1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建立旅游品牌——为塔吉克斯坦经济引资的过程</w:t>
            </w:r>
          </w:p>
          <w:p>
            <w:pPr>
              <w:pStyle w:val="17"/>
              <w:widowControl/>
              <w:numPr>
                <w:ilvl w:val="0"/>
                <w:numId w:val="1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有效利用塔吉克斯坦具有疗愈效果的矿物质水和草药，开发国内治疗潜力</w:t>
            </w:r>
          </w:p>
          <w:p>
            <w:pPr>
              <w:pStyle w:val="17"/>
              <w:widowControl/>
              <w:numPr>
                <w:ilvl w:val="0"/>
                <w:numId w:val="1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介绍塔吉克斯坦的医疗旅游机会和度假胜地，以及如何吸引更多外国游客到塔吉克斯坦</w:t>
            </w:r>
            <w:r>
              <w:rPr>
                <w:rFonts w:hint="eastAsia" w:ascii="Times New Roman" w:hAnsi="Times New Roman" w:cs="Times New Roman"/>
                <w:sz w:val="24"/>
                <w:szCs w:val="24"/>
                <w:lang w:eastAsia="zh-CN"/>
              </w:rPr>
              <w:t>进行</w:t>
            </w:r>
            <w:r>
              <w:rPr>
                <w:rFonts w:ascii="Times New Roman" w:hAnsi="Times New Roman" w:cs="Times New Roman"/>
                <w:sz w:val="24"/>
                <w:szCs w:val="24"/>
              </w:rPr>
              <w:t>医疗旅游</w:t>
            </w:r>
          </w:p>
          <w:p>
            <w:pPr>
              <w:pStyle w:val="17"/>
              <w:widowControl/>
              <w:numPr>
                <w:ilvl w:val="0"/>
                <w:numId w:val="19"/>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b/>
                <w:bCs/>
                <w:sz w:val="24"/>
                <w:szCs w:val="24"/>
                <w:u w:val="single"/>
              </w:rPr>
              <w:t>主持人：</w:t>
            </w:r>
            <w:r>
              <w:rPr>
                <w:rFonts w:ascii="Times New Roman" w:hAnsi="Times New Roman" w:cs="Times New Roman"/>
                <w:sz w:val="24"/>
                <w:szCs w:val="24"/>
              </w:rPr>
              <w:t>Kamoliddin Muminzod——塔吉克斯坦共和国政府旅游发展委员会主席</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演讲嘉宾：</w:t>
            </w:r>
          </w:p>
          <w:p>
            <w:pPr>
              <w:pStyle w:val="17"/>
              <w:widowControl/>
              <w:numPr>
                <w:ilvl w:val="0"/>
                <w:numId w:val="2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塔吉克斯坦共和国政府旅游发展委员会代表</w:t>
            </w:r>
          </w:p>
          <w:p>
            <w:pPr>
              <w:pStyle w:val="17"/>
              <w:widowControl/>
              <w:numPr>
                <w:ilvl w:val="0"/>
                <w:numId w:val="2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Travel Tourist公司代表</w:t>
            </w:r>
          </w:p>
          <w:p>
            <w:pPr>
              <w:pStyle w:val="17"/>
              <w:widowControl/>
              <w:numPr>
                <w:ilvl w:val="0"/>
                <w:numId w:val="2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塔吉克斯坦国际旅游与创业大学代表</w:t>
            </w:r>
          </w:p>
          <w:p>
            <w:pPr>
              <w:pStyle w:val="17"/>
              <w:widowControl/>
              <w:numPr>
                <w:ilvl w:val="0"/>
                <w:numId w:val="2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Javahir Syr公司代表</w:t>
            </w:r>
          </w:p>
          <w:p>
            <w:pPr>
              <w:pStyle w:val="17"/>
              <w:widowControl/>
              <w:numPr>
                <w:ilvl w:val="0"/>
                <w:numId w:val="2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Siyahat Diyar公司代表</w:t>
            </w:r>
          </w:p>
          <w:p>
            <w:pPr>
              <w:pStyle w:val="17"/>
              <w:widowControl/>
              <w:numPr>
                <w:ilvl w:val="0"/>
                <w:numId w:val="2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塔吉克斯坦共和国财政部绿色金融和农村发展基金项目实施中心代表</w:t>
            </w:r>
          </w:p>
          <w:p>
            <w:pPr>
              <w:pStyle w:val="17"/>
              <w:widowControl/>
              <w:numPr>
                <w:ilvl w:val="0"/>
                <w:numId w:val="2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国际金融组织代表</w:t>
            </w:r>
          </w:p>
          <w:p>
            <w:pPr>
              <w:pStyle w:val="17"/>
              <w:widowControl/>
              <w:numPr>
                <w:ilvl w:val="0"/>
                <w:numId w:val="20"/>
              </w:numPr>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16:00-17:30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vMerge w:val="restar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大厅</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合作文件签署仪式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vMerge w:val="continue"/>
          </w:tcPr>
          <w:p>
            <w:pPr>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u w:val="single"/>
              </w:rPr>
              <w:t>主持人：</w:t>
            </w:r>
            <w:r>
              <w:rPr>
                <w:rFonts w:ascii="Times New Roman" w:hAnsi="Times New Roman" w:cs="Times New Roman"/>
                <w:sz w:val="24"/>
                <w:szCs w:val="24"/>
              </w:rPr>
              <w:t>Kodirzoda Sadi Sanginmurod——塔吉克斯坦共和国投资和国有资产管理委员会主席</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演讲嘉宾：</w:t>
            </w:r>
          </w:p>
          <w:p>
            <w:pPr>
              <w:pStyle w:val="17"/>
              <w:widowControl/>
              <w:numPr>
                <w:ilvl w:val="0"/>
                <w:numId w:val="21"/>
              </w:numPr>
              <w:tabs>
                <w:tab w:val="left" w:pos="267"/>
              </w:tabs>
              <w:autoSpaceDE/>
              <w:autoSpaceDN/>
              <w:adjustRightInd w:val="0"/>
              <w:snapToGrid w:val="0"/>
              <w:spacing w:before="120" w:beforeLines="50" w:after="120" w:afterLines="50" w:line="252" w:lineRule="auto"/>
              <w:ind w:left="0" w:firstLine="0"/>
              <w:jc w:val="both"/>
              <w:rPr>
                <w:rFonts w:ascii="Times New Roman" w:hAnsi="Times New Roman" w:cs="Times New Roman"/>
                <w:sz w:val="24"/>
                <w:szCs w:val="24"/>
              </w:rPr>
            </w:pPr>
            <w:r>
              <w:rPr>
                <w:rFonts w:ascii="Times New Roman" w:hAnsi="Times New Roman" w:cs="Times New Roman"/>
                <w:sz w:val="24"/>
                <w:szCs w:val="24"/>
              </w:rPr>
              <w:t>塔吉克斯坦共和国工业和新技术部部长</w:t>
            </w:r>
          </w:p>
          <w:p>
            <w:pPr>
              <w:pStyle w:val="17"/>
              <w:widowControl/>
              <w:numPr>
                <w:ilvl w:val="0"/>
                <w:numId w:val="21"/>
              </w:numPr>
              <w:tabs>
                <w:tab w:val="left" w:pos="275"/>
              </w:tabs>
              <w:autoSpaceDE/>
              <w:autoSpaceDN/>
              <w:adjustRightInd w:val="0"/>
              <w:snapToGrid w:val="0"/>
              <w:spacing w:before="120" w:beforeLines="50" w:after="120" w:afterLines="50" w:line="252" w:lineRule="auto"/>
              <w:ind w:left="0" w:firstLine="0"/>
              <w:jc w:val="both"/>
              <w:rPr>
                <w:rFonts w:ascii="Times New Roman" w:hAnsi="Times New Roman" w:cs="Times New Roman"/>
                <w:sz w:val="24"/>
                <w:szCs w:val="24"/>
              </w:rPr>
            </w:pPr>
            <w:r>
              <w:rPr>
                <w:rFonts w:ascii="Times New Roman" w:hAnsi="Times New Roman" w:cs="Times New Roman"/>
                <w:sz w:val="24"/>
                <w:szCs w:val="24"/>
              </w:rPr>
              <w:t>塔吉克斯坦共和国农业部部长</w:t>
            </w:r>
          </w:p>
          <w:p>
            <w:pPr>
              <w:pStyle w:val="17"/>
              <w:widowControl/>
              <w:numPr>
                <w:ilvl w:val="0"/>
                <w:numId w:val="21"/>
              </w:numPr>
              <w:tabs>
                <w:tab w:val="left" w:pos="275"/>
              </w:tabs>
              <w:autoSpaceDE/>
              <w:autoSpaceDN/>
              <w:adjustRightInd w:val="0"/>
              <w:snapToGrid w:val="0"/>
              <w:spacing w:before="120" w:beforeLines="50" w:after="120" w:afterLines="50" w:line="252" w:lineRule="auto"/>
              <w:ind w:left="0" w:firstLine="0"/>
              <w:jc w:val="both"/>
              <w:rPr>
                <w:rFonts w:ascii="Times New Roman" w:hAnsi="Times New Roman" w:cs="Times New Roman"/>
                <w:sz w:val="24"/>
                <w:szCs w:val="24"/>
              </w:rPr>
            </w:pPr>
            <w:r>
              <w:rPr>
                <w:rFonts w:ascii="Times New Roman" w:hAnsi="Times New Roman" w:cs="Times New Roman"/>
                <w:sz w:val="24"/>
                <w:szCs w:val="24"/>
              </w:rPr>
              <w:t>塔吉克斯坦国家银行行长</w:t>
            </w:r>
          </w:p>
          <w:p>
            <w:pPr>
              <w:pStyle w:val="17"/>
              <w:widowControl/>
              <w:numPr>
                <w:ilvl w:val="0"/>
                <w:numId w:val="21"/>
              </w:numPr>
              <w:tabs>
                <w:tab w:val="left" w:pos="342"/>
              </w:tabs>
              <w:autoSpaceDE/>
              <w:autoSpaceDN/>
              <w:adjustRightInd w:val="0"/>
              <w:snapToGrid w:val="0"/>
              <w:spacing w:before="120" w:beforeLines="50" w:after="120" w:afterLines="50" w:line="252" w:lineRule="auto"/>
              <w:ind w:left="0" w:firstLine="0"/>
              <w:jc w:val="both"/>
              <w:rPr>
                <w:rFonts w:ascii="Times New Roman" w:hAnsi="Times New Roman" w:cs="Times New Roman"/>
                <w:sz w:val="24"/>
                <w:szCs w:val="24"/>
              </w:rPr>
            </w:pPr>
            <w:r>
              <w:rPr>
                <w:rFonts w:ascii="Times New Roman" w:hAnsi="Times New Roman" w:cs="Times New Roman"/>
                <w:sz w:val="24"/>
                <w:szCs w:val="24"/>
              </w:rPr>
              <w:t>塔吉克斯坦共和国政府旅游发展委员会主席</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SUE  Smart City负责人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17:30-18:30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双边会议B2B（企业对企业）和B2G（企业对政府）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18:00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晚宴和文化节目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center"/>
              <w:rPr>
                <w:rFonts w:ascii="Times New Roman" w:hAnsi="Times New Roman" w:cs="Times New Roman"/>
                <w:b/>
                <w:bCs/>
                <w:sz w:val="24"/>
                <w:szCs w:val="24"/>
              </w:rPr>
            </w:pPr>
            <w:r>
              <w:rPr>
                <w:rFonts w:ascii="Times New Roman" w:hAnsi="Times New Roman" w:cs="Times New Roman"/>
                <w:b/>
                <w:bCs/>
                <w:sz w:val="24"/>
                <w:szCs w:val="24"/>
              </w:rPr>
              <w:t>2023年9月30日-（第二天）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center"/>
              <w:rPr>
                <w:rFonts w:ascii="Times New Roman" w:hAnsi="Times New Roman" w:cs="Times New Roman"/>
                <w:b/>
                <w:bCs/>
                <w:sz w:val="24"/>
                <w:szCs w:val="24"/>
              </w:rPr>
            </w:pPr>
            <w:r>
              <w:rPr>
                <w:rFonts w:ascii="Times New Roman" w:hAnsi="Times New Roman" w:cs="Times New Roman"/>
                <w:b/>
                <w:bCs/>
                <w:sz w:val="24"/>
                <w:szCs w:val="24"/>
              </w:rPr>
              <w:t>参会人员可以在以下三个目的地中选择一个参观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8:30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在酒店门口集合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center"/>
              <w:rPr>
                <w:rFonts w:ascii="Times New Roman" w:hAnsi="Times New Roman" w:cs="Times New Roman"/>
                <w:b/>
                <w:bCs/>
                <w:sz w:val="24"/>
                <w:szCs w:val="24"/>
              </w:rPr>
            </w:pPr>
            <w:r>
              <w:rPr>
                <w:rFonts w:ascii="Times New Roman" w:hAnsi="Times New Roman" w:cs="Times New Roman"/>
                <w:b/>
                <w:bCs/>
                <w:sz w:val="24"/>
                <w:szCs w:val="24"/>
              </w:rPr>
              <w:t>第一组（按名单顺序）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9:00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前往努列克市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9:00 – 15:00</w:t>
            </w:r>
          </w:p>
          <w:p>
            <w:pPr>
              <w:pStyle w:val="17"/>
              <w:widowControl/>
              <w:autoSpaceDE/>
              <w:autoSpaceDN/>
              <w:adjustRightInd w:val="0"/>
              <w:snapToGrid w:val="0"/>
              <w:spacing w:before="120" w:beforeLines="50" w:after="120" w:afterLines="50" w:line="252" w:lineRule="auto"/>
              <w:jc w:val="left"/>
              <w:rPr>
                <w:rFonts w:ascii="Times New Roman" w:hAnsi="Times New Roman" w:cs="Times New Roman"/>
                <w:sz w:val="24"/>
                <w:szCs w:val="24"/>
              </w:rPr>
            </w:pPr>
            <w:r>
              <w:rPr>
                <w:rFonts w:ascii="Times New Roman" w:hAnsi="Times New Roman" w:cs="Times New Roman"/>
                <w:sz w:val="24"/>
                <w:szCs w:val="24"/>
              </w:rPr>
              <w:t>（含午餐时间）</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ascii="Times New Roman" w:hAnsi="Times New Roman" w:cs="Times New Roman"/>
                <w:b/>
                <w:bCs/>
                <w:sz w:val="24"/>
                <w:szCs w:val="24"/>
              </w:rPr>
              <w:t>努列克市简介：</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color w:val="1F2021"/>
                <w:sz w:val="24"/>
                <w:szCs w:val="24"/>
              </w:rPr>
              <w:t>努列克位于塔吉克斯坦南部，是一座历史悠久的能源城市。据《塔吉克》一书记载，在石器时代就有人居住于此。历史学家从努列克的考古挖掘中发现了四万多件文物，有待做进一步的研究和结论。努列克拥有丰富的历史文化遗产和自然资源，为国内旅游业的发展和外国游客的接待做出了重要贡献。特殊的自然景观、湖泊、泉水和具有疗愈效果的饮用水吸引了大批游客，奠定了努列克在国家旅游业发展中的特殊地位。努列克水电站是该市的知名景点之一，目前已安装9台水电机组，设计容量达30万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15:00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返回杜尚别市，入住酒店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center"/>
              <w:rPr>
                <w:rFonts w:ascii="Times New Roman" w:hAnsi="Times New Roman" w:cs="Times New Roman"/>
                <w:b/>
                <w:bCs/>
                <w:sz w:val="24"/>
                <w:szCs w:val="24"/>
              </w:rPr>
            </w:pPr>
            <w:r>
              <w:rPr>
                <w:rFonts w:ascii="Times New Roman" w:hAnsi="Times New Roman" w:cs="Times New Roman"/>
                <w:b/>
                <w:bCs/>
                <w:sz w:val="24"/>
                <w:szCs w:val="24"/>
              </w:rPr>
              <w:t>第二组（按名单顺序）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9:00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前往图尔孙扎德市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9:00 – 15:00</w:t>
            </w:r>
          </w:p>
          <w:p>
            <w:pPr>
              <w:pStyle w:val="17"/>
              <w:widowControl/>
              <w:autoSpaceDE/>
              <w:autoSpaceDN/>
              <w:adjustRightInd w:val="0"/>
              <w:snapToGrid w:val="0"/>
              <w:spacing w:before="120" w:beforeLines="50" w:after="120" w:afterLines="50" w:line="252" w:lineRule="auto"/>
              <w:jc w:val="left"/>
              <w:rPr>
                <w:rFonts w:ascii="Times New Roman" w:hAnsi="Times New Roman" w:cs="Times New Roman"/>
                <w:sz w:val="24"/>
                <w:szCs w:val="24"/>
              </w:rPr>
            </w:pPr>
            <w:r>
              <w:rPr>
                <w:rFonts w:ascii="Times New Roman" w:hAnsi="Times New Roman" w:cs="Times New Roman"/>
                <w:sz w:val="24"/>
                <w:szCs w:val="24"/>
              </w:rPr>
              <w:t>（含午餐时间）</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hint="eastAsia" w:ascii="Times New Roman" w:hAnsi="Times New Roman" w:cs="Times New Roman"/>
                <w:b/>
                <w:bCs/>
                <w:sz w:val="24"/>
                <w:szCs w:val="24"/>
              </w:rPr>
              <w:t>图尔孙扎德</w:t>
            </w:r>
            <w:r>
              <w:rPr>
                <w:rFonts w:ascii="Times New Roman" w:hAnsi="Times New Roman" w:cs="Times New Roman"/>
                <w:b/>
                <w:bCs/>
                <w:sz w:val="24"/>
                <w:szCs w:val="24"/>
              </w:rPr>
              <w:t>市简介：</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图尔孙扎德是塔吉克斯坦的制造业中心之一，位于杜尚别市以西65公里处。该市面积为24,560平方公里，是个多民族聚居地。图尔孙扎德拥有白雪皑皑的高山、鲜花漫野的山谷、远近闻名的葡萄园和种类丰富的水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15:00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返回杜尚别市，入住酒店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center"/>
              <w:rPr>
                <w:rFonts w:ascii="Times New Roman" w:hAnsi="Times New Roman" w:cs="Times New Roman"/>
                <w:b/>
                <w:bCs/>
                <w:sz w:val="24"/>
                <w:szCs w:val="24"/>
              </w:rPr>
            </w:pPr>
            <w:r>
              <w:rPr>
                <w:rFonts w:ascii="Times New Roman" w:hAnsi="Times New Roman" w:cs="Times New Roman"/>
                <w:b/>
                <w:bCs/>
                <w:sz w:val="24"/>
                <w:szCs w:val="24"/>
              </w:rPr>
              <w:t>第三组（按名单顺序）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9:00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前往杜尚别市工业区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9:00 – 15:00</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（含午餐时间）</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b/>
                <w:bCs/>
                <w:sz w:val="24"/>
                <w:szCs w:val="24"/>
              </w:rPr>
            </w:pPr>
            <w:r>
              <w:rPr>
                <w:rFonts w:hint="eastAsia" w:ascii="Times New Roman" w:hAnsi="Times New Roman" w:cs="Times New Roman"/>
                <w:b/>
                <w:bCs/>
                <w:sz w:val="24"/>
                <w:szCs w:val="24"/>
              </w:rPr>
              <w:t>杜尚别市工业区</w:t>
            </w:r>
            <w:r>
              <w:rPr>
                <w:rFonts w:ascii="Times New Roman" w:hAnsi="Times New Roman" w:cs="Times New Roman"/>
                <w:b/>
                <w:bCs/>
                <w:sz w:val="24"/>
                <w:szCs w:val="24"/>
              </w:rPr>
              <w:t>简介：</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2018年9月，</w:t>
            </w:r>
            <w:r>
              <w:rPr>
                <w:rFonts w:hint="eastAsia" w:ascii="Times New Roman" w:hAnsi="Times New Roman" w:cs="Times New Roman"/>
                <w:sz w:val="24"/>
                <w:szCs w:val="24"/>
              </w:rPr>
              <w:t>“和平与国家统一的缔造者”</w:t>
            </w:r>
            <w:r>
              <w:rPr>
                <w:rFonts w:ascii="Times New Roman" w:hAnsi="Times New Roman" w:cs="Times New Roman"/>
                <w:sz w:val="24"/>
                <w:szCs w:val="24"/>
              </w:rPr>
              <w:t>、国家领导人、尊敬的塔吉克斯坦共和国总统埃莫马利·拉赫蒙</w:t>
            </w:r>
            <w:r>
              <w:rPr>
                <w:rFonts w:hint="eastAsia" w:ascii="Times New Roman" w:hAnsi="Times New Roman" w:cs="Times New Roman"/>
                <w:sz w:val="24"/>
                <w:szCs w:val="24"/>
                <w:lang w:eastAsia="zh-CN"/>
              </w:rPr>
              <w:t>出席</w:t>
            </w:r>
            <w:r>
              <w:rPr>
                <w:rFonts w:ascii="Times New Roman" w:hAnsi="Times New Roman" w:cs="Times New Roman"/>
                <w:sz w:val="24"/>
                <w:szCs w:val="24"/>
              </w:rPr>
              <w:t>杜尚别工业区</w:t>
            </w:r>
            <w:r>
              <w:rPr>
                <w:rFonts w:hint="eastAsia" w:ascii="Times New Roman" w:hAnsi="Times New Roman" w:cs="Times New Roman"/>
                <w:sz w:val="24"/>
                <w:szCs w:val="24"/>
              </w:rPr>
              <w:t>奠基典礼</w:t>
            </w:r>
            <w:r>
              <w:rPr>
                <w:rFonts w:ascii="Times New Roman" w:hAnsi="Times New Roman" w:cs="Times New Roman"/>
                <w:sz w:val="24"/>
                <w:szCs w:val="24"/>
              </w:rPr>
              <w:t>。</w:t>
            </w:r>
          </w:p>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杜尚别市的工业区分两个阶段投入运营，相继成立了数家工业企业。目前工业区共入驻了13家公司，包括Vahdat Textile有限责任公司、Asrori Sang有限责任公司、Stone有限责任公司、GreenGold有限责任公司、Shahzoda股份公司、Dushanbe Carpets股份公司、Huria股份公司、Electrical Technology and Safety股份公司、Firuz Binokor股份公司、Favora股份公司、Ravgan股份公司、Sharapov股份公司和Lazzat股份公司。这些企业为国内市场提供了具有竞争力的产品，为国家做出了</w:t>
            </w:r>
            <w:r>
              <w:rPr>
                <w:rFonts w:hint="eastAsia" w:ascii="Times New Roman" w:hAnsi="Times New Roman" w:cs="Times New Roman"/>
                <w:sz w:val="24"/>
                <w:szCs w:val="24"/>
                <w:lang w:eastAsia="zh-CN"/>
              </w:rPr>
              <w:t>巨大</w:t>
            </w:r>
            <w:r>
              <w:rPr>
                <w:rFonts w:ascii="Times New Roman" w:hAnsi="Times New Roman" w:cs="Times New Roman"/>
                <w:sz w:val="24"/>
                <w:szCs w:val="24"/>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1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15:00</w:t>
            </w:r>
          </w:p>
        </w:tc>
        <w:tc>
          <w:tcPr>
            <w:tcW w:w="4085" w:type="pct"/>
          </w:tcPr>
          <w:p>
            <w:pPr>
              <w:pStyle w:val="17"/>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r>
              <w:rPr>
                <w:rFonts w:ascii="Times New Roman" w:hAnsi="Times New Roman" w:cs="Times New Roman"/>
                <w:sz w:val="24"/>
                <w:szCs w:val="24"/>
              </w:rPr>
              <w:t>返回并入住酒店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tcPr>
          <w:p>
            <w:pPr>
              <w:pStyle w:val="17"/>
              <w:widowControl/>
              <w:autoSpaceDE/>
              <w:autoSpaceDN/>
              <w:adjustRightInd w:val="0"/>
              <w:snapToGrid w:val="0"/>
              <w:spacing w:before="120" w:beforeLines="50" w:after="120" w:afterLines="50" w:line="252" w:lineRule="auto"/>
              <w:jc w:val="center"/>
              <w:rPr>
                <w:rFonts w:hint="eastAsia" w:ascii="Times New Roman" w:hAnsi="Times New Roman" w:eastAsia="宋体" w:cs="Times New Roman"/>
                <w:b/>
                <w:bCs/>
                <w:sz w:val="24"/>
                <w:szCs w:val="24"/>
                <w:lang w:eastAsia="zh-CN"/>
              </w:rPr>
            </w:pPr>
            <w:r>
              <w:rPr>
                <w:rFonts w:ascii="Times New Roman" w:hAnsi="Times New Roman" w:cs="Times New Roman"/>
                <w:b/>
                <w:bCs/>
                <w:sz w:val="24"/>
                <w:szCs w:val="24"/>
              </w:rPr>
              <w:t>按照指定路线</w:t>
            </w:r>
            <w:r>
              <w:rPr>
                <w:rFonts w:hint="eastAsia" w:ascii="Times New Roman" w:hAnsi="Times New Roman" w:cs="Times New Roman"/>
                <w:b/>
                <w:bCs/>
                <w:sz w:val="24"/>
                <w:szCs w:val="24"/>
                <w:lang w:eastAsia="zh-CN"/>
              </w:rPr>
              <w:t>接送</w:t>
            </w:r>
            <w:r>
              <w:rPr>
                <w:rFonts w:ascii="Times New Roman" w:hAnsi="Times New Roman" w:cs="Times New Roman"/>
                <w:b/>
                <w:bCs/>
                <w:sz w:val="24"/>
                <w:szCs w:val="24"/>
              </w:rPr>
              <w:t>嘉宾</w:t>
            </w:r>
          </w:p>
        </w:tc>
      </w:tr>
    </w:tbl>
    <w:p>
      <w:pPr>
        <w:widowControl/>
        <w:autoSpaceDE/>
        <w:autoSpaceDN/>
        <w:adjustRightInd w:val="0"/>
        <w:snapToGrid w:val="0"/>
        <w:spacing w:before="120" w:beforeLines="50" w:after="120" w:afterLines="50" w:line="252" w:lineRule="auto"/>
        <w:jc w:val="both"/>
        <w:rPr>
          <w:rFonts w:ascii="Times New Roman" w:hAnsi="Times New Roman" w:cs="Times New Roman"/>
          <w:sz w:val="24"/>
          <w:szCs w:val="24"/>
        </w:rPr>
      </w:pPr>
    </w:p>
    <w:sectPr>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637C7"/>
    <w:multiLevelType w:val="multilevel"/>
    <w:tmpl w:val="012637C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02CF5CE1"/>
    <w:multiLevelType w:val="multilevel"/>
    <w:tmpl w:val="02CF5CE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C0D7FBE"/>
    <w:multiLevelType w:val="multilevel"/>
    <w:tmpl w:val="0C0D7FB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0C6D5D0E"/>
    <w:multiLevelType w:val="multilevel"/>
    <w:tmpl w:val="0C6D5D0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139149CE"/>
    <w:multiLevelType w:val="multilevel"/>
    <w:tmpl w:val="139149C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1BAF377F"/>
    <w:multiLevelType w:val="multilevel"/>
    <w:tmpl w:val="1BAF377F"/>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1DF445F4"/>
    <w:multiLevelType w:val="multilevel"/>
    <w:tmpl w:val="1DF445F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227E7D43"/>
    <w:multiLevelType w:val="multilevel"/>
    <w:tmpl w:val="227E7D4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240E7498"/>
    <w:multiLevelType w:val="multilevel"/>
    <w:tmpl w:val="240E749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2EE96008"/>
    <w:multiLevelType w:val="multilevel"/>
    <w:tmpl w:val="2EE9600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2EFD6986"/>
    <w:multiLevelType w:val="multilevel"/>
    <w:tmpl w:val="2EFD698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369D5F01"/>
    <w:multiLevelType w:val="multilevel"/>
    <w:tmpl w:val="369D5F0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3A627EC3"/>
    <w:multiLevelType w:val="multilevel"/>
    <w:tmpl w:val="3A627EC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4D4A5D8D"/>
    <w:multiLevelType w:val="multilevel"/>
    <w:tmpl w:val="4D4A5D8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50477059"/>
    <w:multiLevelType w:val="multilevel"/>
    <w:tmpl w:val="5047705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58753E9E"/>
    <w:multiLevelType w:val="multilevel"/>
    <w:tmpl w:val="58753E9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63BA22C2"/>
    <w:multiLevelType w:val="multilevel"/>
    <w:tmpl w:val="63BA22C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7">
    <w:nsid w:val="6B2E026E"/>
    <w:multiLevelType w:val="multilevel"/>
    <w:tmpl w:val="6B2E026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8">
    <w:nsid w:val="7338724A"/>
    <w:multiLevelType w:val="multilevel"/>
    <w:tmpl w:val="7338724A"/>
    <w:lvl w:ilvl="0" w:tentative="0">
      <w:start w:val="0"/>
      <w:numFmt w:val="bullet"/>
      <w:lvlText w:val="•"/>
      <w:lvlJc w:val="left"/>
      <w:pPr>
        <w:ind w:left="106" w:hanging="160"/>
      </w:pPr>
      <w:rPr>
        <w:rFonts w:hint="default" w:ascii="Arial" w:hAnsi="Arial" w:eastAsia="Arial" w:cs="Arial"/>
        <w:b w:val="0"/>
        <w:bCs w:val="0"/>
        <w:i w:val="0"/>
        <w:iCs w:val="0"/>
        <w:w w:val="85"/>
        <w:sz w:val="30"/>
        <w:szCs w:val="30"/>
        <w:lang w:val="ru-RU" w:eastAsia="en-US" w:bidi="ar-SA"/>
      </w:rPr>
    </w:lvl>
    <w:lvl w:ilvl="1" w:tentative="0">
      <w:start w:val="0"/>
      <w:numFmt w:val="bullet"/>
      <w:lvlText w:val="•"/>
      <w:lvlJc w:val="left"/>
      <w:pPr>
        <w:ind w:left="911" w:hanging="160"/>
      </w:pPr>
      <w:rPr>
        <w:rFonts w:hint="default"/>
        <w:lang w:val="ru-RU" w:eastAsia="en-US" w:bidi="ar-SA"/>
      </w:rPr>
    </w:lvl>
    <w:lvl w:ilvl="2" w:tentative="0">
      <w:start w:val="0"/>
      <w:numFmt w:val="bullet"/>
      <w:lvlText w:val="•"/>
      <w:lvlJc w:val="left"/>
      <w:pPr>
        <w:ind w:left="1722" w:hanging="160"/>
      </w:pPr>
      <w:rPr>
        <w:rFonts w:hint="default"/>
        <w:lang w:val="ru-RU" w:eastAsia="en-US" w:bidi="ar-SA"/>
      </w:rPr>
    </w:lvl>
    <w:lvl w:ilvl="3" w:tentative="0">
      <w:start w:val="0"/>
      <w:numFmt w:val="bullet"/>
      <w:lvlText w:val="•"/>
      <w:lvlJc w:val="left"/>
      <w:pPr>
        <w:ind w:left="2533" w:hanging="160"/>
      </w:pPr>
      <w:rPr>
        <w:rFonts w:hint="default"/>
        <w:lang w:val="ru-RU" w:eastAsia="en-US" w:bidi="ar-SA"/>
      </w:rPr>
    </w:lvl>
    <w:lvl w:ilvl="4" w:tentative="0">
      <w:start w:val="0"/>
      <w:numFmt w:val="bullet"/>
      <w:lvlText w:val="•"/>
      <w:lvlJc w:val="left"/>
      <w:pPr>
        <w:ind w:left="3344" w:hanging="160"/>
      </w:pPr>
      <w:rPr>
        <w:rFonts w:hint="default"/>
        <w:lang w:val="ru-RU" w:eastAsia="en-US" w:bidi="ar-SA"/>
      </w:rPr>
    </w:lvl>
    <w:lvl w:ilvl="5" w:tentative="0">
      <w:start w:val="0"/>
      <w:numFmt w:val="bullet"/>
      <w:lvlText w:val="•"/>
      <w:lvlJc w:val="left"/>
      <w:pPr>
        <w:ind w:left="4155" w:hanging="160"/>
      </w:pPr>
      <w:rPr>
        <w:rFonts w:hint="default"/>
        <w:lang w:val="ru-RU" w:eastAsia="en-US" w:bidi="ar-SA"/>
      </w:rPr>
    </w:lvl>
    <w:lvl w:ilvl="6" w:tentative="0">
      <w:start w:val="0"/>
      <w:numFmt w:val="bullet"/>
      <w:lvlText w:val="•"/>
      <w:lvlJc w:val="left"/>
      <w:pPr>
        <w:ind w:left="4966" w:hanging="160"/>
      </w:pPr>
      <w:rPr>
        <w:rFonts w:hint="default"/>
        <w:lang w:val="ru-RU" w:eastAsia="en-US" w:bidi="ar-SA"/>
      </w:rPr>
    </w:lvl>
    <w:lvl w:ilvl="7" w:tentative="0">
      <w:start w:val="0"/>
      <w:numFmt w:val="bullet"/>
      <w:lvlText w:val="•"/>
      <w:lvlJc w:val="left"/>
      <w:pPr>
        <w:ind w:left="5777" w:hanging="160"/>
      </w:pPr>
      <w:rPr>
        <w:rFonts w:hint="default"/>
        <w:lang w:val="ru-RU" w:eastAsia="en-US" w:bidi="ar-SA"/>
      </w:rPr>
    </w:lvl>
    <w:lvl w:ilvl="8" w:tentative="0">
      <w:start w:val="0"/>
      <w:numFmt w:val="bullet"/>
      <w:lvlText w:val="•"/>
      <w:lvlJc w:val="left"/>
      <w:pPr>
        <w:ind w:left="6588" w:hanging="160"/>
      </w:pPr>
      <w:rPr>
        <w:rFonts w:hint="default"/>
        <w:lang w:val="ru-RU" w:eastAsia="en-US" w:bidi="ar-SA"/>
      </w:rPr>
    </w:lvl>
  </w:abstractNum>
  <w:abstractNum w:abstractNumId="19">
    <w:nsid w:val="7785001D"/>
    <w:multiLevelType w:val="multilevel"/>
    <w:tmpl w:val="7785001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7CAF214A"/>
    <w:multiLevelType w:val="multilevel"/>
    <w:tmpl w:val="7CAF214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9"/>
  </w:num>
  <w:num w:numId="2">
    <w:abstractNumId w:val="13"/>
  </w:num>
  <w:num w:numId="3">
    <w:abstractNumId w:val="4"/>
  </w:num>
  <w:num w:numId="4">
    <w:abstractNumId w:val="8"/>
  </w:num>
  <w:num w:numId="5">
    <w:abstractNumId w:val="2"/>
  </w:num>
  <w:num w:numId="6">
    <w:abstractNumId w:val="12"/>
  </w:num>
  <w:num w:numId="7">
    <w:abstractNumId w:val="11"/>
  </w:num>
  <w:num w:numId="8">
    <w:abstractNumId w:val="3"/>
  </w:num>
  <w:num w:numId="9">
    <w:abstractNumId w:val="20"/>
  </w:num>
  <w:num w:numId="10">
    <w:abstractNumId w:val="14"/>
  </w:num>
  <w:num w:numId="11">
    <w:abstractNumId w:val="15"/>
  </w:num>
  <w:num w:numId="12">
    <w:abstractNumId w:val="7"/>
  </w:num>
  <w:num w:numId="13">
    <w:abstractNumId w:val="16"/>
  </w:num>
  <w:num w:numId="14">
    <w:abstractNumId w:val="6"/>
  </w:num>
  <w:num w:numId="15">
    <w:abstractNumId w:val="1"/>
  </w:num>
  <w:num w:numId="16">
    <w:abstractNumId w:val="10"/>
  </w:num>
  <w:num w:numId="17">
    <w:abstractNumId w:val="0"/>
  </w:num>
  <w:num w:numId="18">
    <w:abstractNumId w:val="19"/>
  </w:num>
  <w:num w:numId="19">
    <w:abstractNumId w:val="5"/>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A3"/>
    <w:rsid w:val="00383BD3"/>
    <w:rsid w:val="00501C90"/>
    <w:rsid w:val="007752A3"/>
    <w:rsid w:val="0081646E"/>
    <w:rsid w:val="0089298B"/>
    <w:rsid w:val="00914F57"/>
    <w:rsid w:val="00A9091A"/>
    <w:rsid w:val="00BD5DC8"/>
    <w:rsid w:val="00CB5DDD"/>
    <w:rsid w:val="00D22F35"/>
    <w:rsid w:val="00E05ECE"/>
    <w:rsid w:val="00EC39D6"/>
    <w:rsid w:val="00F64920"/>
    <w:rsid w:val="00F81D2F"/>
    <w:rsid w:val="00FF3ED3"/>
    <w:rsid w:val="15EAE72A"/>
    <w:rsid w:val="2F73A87F"/>
    <w:rsid w:val="3EBB1B68"/>
    <w:rsid w:val="4BEF34EA"/>
    <w:rsid w:val="4BFEA5AB"/>
    <w:rsid w:val="4FBFB65E"/>
    <w:rsid w:val="534EDAA8"/>
    <w:rsid w:val="55EF5B49"/>
    <w:rsid w:val="5B5DEB56"/>
    <w:rsid w:val="66B78CB6"/>
    <w:rsid w:val="6E1E5749"/>
    <w:rsid w:val="6FCC53B1"/>
    <w:rsid w:val="6FFFE6E2"/>
    <w:rsid w:val="77C642C4"/>
    <w:rsid w:val="7DAA1C23"/>
    <w:rsid w:val="7E4EAFA3"/>
    <w:rsid w:val="7EDAABE6"/>
    <w:rsid w:val="7F3F5C86"/>
    <w:rsid w:val="7F9F9EFB"/>
    <w:rsid w:val="7FB766B2"/>
    <w:rsid w:val="7FEE18A8"/>
    <w:rsid w:val="8D5249E5"/>
    <w:rsid w:val="9FFDD015"/>
    <w:rsid w:val="A7FF6DE2"/>
    <w:rsid w:val="AEFF0865"/>
    <w:rsid w:val="BBBF2620"/>
    <w:rsid w:val="CBDD4900"/>
    <w:rsid w:val="CF5FDEC8"/>
    <w:rsid w:val="DBADDC82"/>
    <w:rsid w:val="E3FFCB02"/>
    <w:rsid w:val="EDBEB189"/>
    <w:rsid w:val="EFFFA312"/>
    <w:rsid w:val="F4F94831"/>
    <w:rsid w:val="FAFFDEAE"/>
    <w:rsid w:val="FDFFE1C6"/>
    <w:rsid w:val="FEF5A849"/>
    <w:rsid w:val="FF6FF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Arial" w:hAnsi="Arial" w:eastAsia="宋体" w:cs="Arial"/>
      <w:sz w:val="22"/>
      <w:szCs w:val="22"/>
      <w:lang w:val="ru-RU"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annotation text"/>
    <w:link w:val="20"/>
    <w:semiHidden/>
    <w:unhideWhenUsed/>
    <w:qFormat/>
    <w:uiPriority w:val="99"/>
    <w:pPr>
      <w:widowControl w:val="0"/>
      <w:autoSpaceDE w:val="0"/>
      <w:autoSpaceDN w:val="0"/>
    </w:pPr>
    <w:rPr>
      <w:rFonts w:asciiTheme="minorHAnsi" w:hAnsiTheme="minorHAnsi" w:eastAsiaTheme="minorEastAsia" w:cstheme="minorBidi"/>
      <w:sz w:val="20"/>
      <w:szCs w:val="20"/>
      <w:lang w:val="en-US" w:eastAsia="zh-CN" w:bidi="ar-SA"/>
    </w:rPr>
  </w:style>
  <w:style w:type="paragraph" w:styleId="5">
    <w:name w:val="Body Text"/>
    <w:basedOn w:val="1"/>
    <w:qFormat/>
    <w:uiPriority w:val="1"/>
    <w:rPr>
      <w:sz w:val="30"/>
      <w:szCs w:val="30"/>
    </w:rPr>
  </w:style>
  <w:style w:type="paragraph" w:styleId="6">
    <w:name w:val="footer"/>
    <w:basedOn w:val="1"/>
    <w:link w:val="19"/>
    <w:unhideWhenUsed/>
    <w:qFormat/>
    <w:uiPriority w:val="99"/>
    <w:pPr>
      <w:tabs>
        <w:tab w:val="center" w:pos="4153"/>
        <w:tab w:val="right" w:pos="8306"/>
      </w:tabs>
      <w:snapToGrid w:val="0"/>
    </w:pPr>
    <w:rPr>
      <w:sz w:val="18"/>
      <w:szCs w:val="18"/>
    </w:rPr>
  </w:style>
  <w:style w:type="paragraph" w:styleId="7">
    <w:name w:val="header"/>
    <w:basedOn w:val="1"/>
    <w:link w:val="18"/>
    <w:unhideWhenUsed/>
    <w:qFormat/>
    <w:uiPriority w:val="99"/>
    <w:pP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annotation subject"/>
    <w:basedOn w:val="4"/>
    <w:next w:val="4"/>
    <w:link w:val="21"/>
    <w:semiHidden/>
    <w:unhideWhenUsed/>
    <w:qFormat/>
    <w:uiPriority w:val="99"/>
    <w:rPr>
      <w:rFonts w:ascii="Arial" w:hAnsi="Arial" w:eastAsia="宋体" w:cs="Arial"/>
      <w:b/>
      <w:bCs/>
      <w:sz w:val="22"/>
      <w:szCs w:val="22"/>
      <w:lang w:val="ru-RU"/>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semiHidden/>
    <w:unhideWhenUsed/>
    <w:qFormat/>
    <w:uiPriority w:val="99"/>
    <w:rPr>
      <w:sz w:val="16"/>
      <w:szCs w:val="16"/>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80" w:hanging="220"/>
    </w:pPr>
  </w:style>
  <w:style w:type="paragraph" w:customStyle="1" w:styleId="17">
    <w:name w:val="Table Paragraph"/>
    <w:basedOn w:val="1"/>
    <w:qFormat/>
    <w:uiPriority w:val="1"/>
  </w:style>
  <w:style w:type="character" w:customStyle="1" w:styleId="18">
    <w:name w:val="页眉 字符"/>
    <w:basedOn w:val="12"/>
    <w:link w:val="7"/>
    <w:qFormat/>
    <w:uiPriority w:val="99"/>
    <w:rPr>
      <w:rFonts w:ascii="Arial" w:hAnsi="Arial" w:eastAsia="宋体" w:cs="Arial"/>
      <w:sz w:val="18"/>
      <w:szCs w:val="18"/>
      <w:lang w:val="ru-RU"/>
    </w:rPr>
  </w:style>
  <w:style w:type="character" w:customStyle="1" w:styleId="19">
    <w:name w:val="页脚 字符"/>
    <w:basedOn w:val="12"/>
    <w:link w:val="6"/>
    <w:qFormat/>
    <w:uiPriority w:val="99"/>
    <w:rPr>
      <w:rFonts w:ascii="Arial" w:hAnsi="Arial" w:eastAsia="宋体" w:cs="Arial"/>
      <w:sz w:val="18"/>
      <w:szCs w:val="18"/>
      <w:lang w:val="ru-RU"/>
    </w:rPr>
  </w:style>
  <w:style w:type="character" w:customStyle="1" w:styleId="20">
    <w:name w:val="批注文字 字符"/>
    <w:basedOn w:val="12"/>
    <w:link w:val="4"/>
    <w:semiHidden/>
    <w:qFormat/>
    <w:uiPriority w:val="99"/>
    <w:rPr>
      <w:sz w:val="20"/>
      <w:szCs w:val="20"/>
    </w:rPr>
  </w:style>
  <w:style w:type="character" w:customStyle="1" w:styleId="21">
    <w:name w:val="批注主题 字符"/>
    <w:basedOn w:val="20"/>
    <w:link w:val="9"/>
    <w:semiHidden/>
    <w:qFormat/>
    <w:uiPriority w:val="99"/>
    <w:rPr>
      <w:rFonts w:ascii="Arial" w:hAnsi="Arial" w:eastAsia="宋体" w:cs="Arial"/>
      <w:b/>
      <w:bCs/>
      <w:sz w:val="20"/>
      <w:szCs w:val="20"/>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623</Words>
  <Characters>3557</Characters>
  <Lines>29</Lines>
  <Paragraphs>8</Paragraphs>
  <TotalTime>0</TotalTime>
  <ScaleCrop>false</ScaleCrop>
  <LinksUpToDate>false</LinksUpToDate>
  <CharactersWithSpaces>4172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2023-09-08T10:25:00Z</dcterms:created>
  <dc:creator>Ҳоким Шариф</dc:creator>
  <cp:lastModifiedBy>mczd</cp:lastModifiedBy>
  <cp:lastPrinted>2023-09-07T19:27:00Z</cp:lastPrinted>
  <dcterms:modified xsi:type="dcterms:W3CDTF">2023-09-11T11:01:56Z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Acrobat PDFMaker 21 для Word</vt:lpwstr>
  </property>
  <property fmtid="{D5CDD505-2E9C-101B-9397-08002B2CF9AE}" pid="4" name="LastSaved">
    <vt:filetime>2023-09-06T00:00:00Z</vt:filetime>
  </property>
  <property fmtid="{D5CDD505-2E9C-101B-9397-08002B2CF9AE}" pid="5" name="KSOProductBuildVer">
    <vt:lpwstr>2052-11.8.2.9958</vt:lpwstr>
  </property>
</Properties>
</file>